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E349D6" w14:textId="77777777" w:rsidR="0048524B" w:rsidRPr="0048524B" w:rsidRDefault="0048524B" w:rsidP="0048524B">
      <w:pPr>
        <w:pStyle w:val="Heading1"/>
        <w:rPr>
          <w:rFonts w:eastAsia="Times New Roman"/>
          <w:lang w:eastAsia="en-GB"/>
        </w:rPr>
      </w:pPr>
      <w:r w:rsidRPr="0048524B">
        <w:rPr>
          <w:noProof/>
        </w:rPr>
        <w:t xml:space="preserve">Panel 1A: </w:t>
      </w:r>
      <w:r w:rsidRPr="0048524B">
        <w:rPr>
          <w:rFonts w:eastAsia="Times New Roman"/>
          <w:lang w:eastAsia="en-GB"/>
        </w:rPr>
        <w:t>Language and Culture</w:t>
      </w:r>
    </w:p>
    <w:p w14:paraId="4B94425A" w14:textId="77777777" w:rsidR="0048524B" w:rsidRDefault="0048524B">
      <w:pPr>
        <w:rPr>
          <w:b/>
          <w:noProof/>
        </w:rPr>
      </w:pPr>
    </w:p>
    <w:p w14:paraId="11C25C9A" w14:textId="77777777" w:rsidR="0048524B" w:rsidRDefault="0048524B">
      <w:r w:rsidRPr="002E1C1E">
        <w:rPr>
          <w:b/>
          <w:noProof/>
        </w:rPr>
        <w:t>Kohei</w:t>
      </w:r>
      <w:r w:rsidRPr="008357DE">
        <w:rPr>
          <w:b/>
        </w:rPr>
        <w:t xml:space="preserve"> </w:t>
      </w:r>
      <w:r w:rsidRPr="002E1C1E">
        <w:rPr>
          <w:b/>
          <w:noProof/>
        </w:rPr>
        <w:t>Watanabe</w:t>
      </w:r>
      <w:r w:rsidRPr="008357DE">
        <w:rPr>
          <w:b/>
        </w:rPr>
        <w:t xml:space="preserve"> </w:t>
      </w:r>
      <w:r>
        <w:rPr>
          <w:b/>
        </w:rPr>
        <w:t xml:space="preserve"> </w:t>
      </w:r>
      <w:r>
        <w:t>(Kyushu University, Japan)</w:t>
      </w:r>
    </w:p>
    <w:p w14:paraId="6CAB93B1" w14:textId="77777777" w:rsidR="00D00440" w:rsidRPr="00D00440" w:rsidRDefault="00D00440" w:rsidP="00D00440">
      <w:r w:rsidRPr="00D00440">
        <w:t>Weighing the influences of language versus culture</w:t>
      </w:r>
    </w:p>
    <w:p w14:paraId="5A5A85D6" w14:textId="77777777" w:rsidR="0048524B" w:rsidRDefault="0048524B">
      <w:r>
        <w:rPr>
          <w:noProof/>
        </w:rPr>
        <w:t>Think about the word ‘brother’. In English, there is only one way to say ‘brother’, and you cannot distinguish whether he is older or younger from just this one word. However, in Japanese there are ways of saying elder brother and younger brother with one letter, ‘</w:t>
      </w:r>
      <w:r>
        <w:rPr>
          <w:rFonts w:ascii="MS Gothic" w:eastAsia="MS Gothic" w:hAnsi="MS Gothic" w:cs="MS Gothic" w:hint="eastAsia"/>
          <w:noProof/>
        </w:rPr>
        <w:t>兄</w:t>
      </w:r>
      <w:r>
        <w:rPr>
          <w:noProof/>
        </w:rPr>
        <w:t>(Ani)’ and ‘</w:t>
      </w:r>
      <w:r>
        <w:rPr>
          <w:rFonts w:ascii="MS Gothic" w:eastAsia="MS Gothic" w:hAnsi="MS Gothic" w:cs="MS Gothic" w:hint="eastAsia"/>
          <w:noProof/>
        </w:rPr>
        <w:t>弟</w:t>
      </w:r>
      <w:r>
        <w:rPr>
          <w:noProof/>
        </w:rPr>
        <w:t>(Otouto). Why is this? When considering culture and language, you cannot just say that our culture dominates our society. As the phrase ‘</w:t>
      </w:r>
      <w:r>
        <w:rPr>
          <w:rFonts w:ascii="MS Gothic" w:eastAsia="MS Gothic" w:hAnsi="MS Gothic" w:cs="MS Gothic" w:hint="eastAsia"/>
          <w:noProof/>
        </w:rPr>
        <w:t>言葉に振り回される</w:t>
      </w:r>
      <w:r>
        <w:rPr>
          <w:noProof/>
        </w:rPr>
        <w:t xml:space="preserve"> (swayed by words)’ suggests, you sometimes feel you do not control the words, you are actually controlled by them. This research focuses mainly on three topics ‘</w:t>
      </w:r>
      <w:r>
        <w:rPr>
          <w:rFonts w:ascii="MS Gothic" w:eastAsia="MS Gothic" w:hAnsi="MS Gothic" w:cs="MS Gothic" w:hint="eastAsia"/>
          <w:noProof/>
        </w:rPr>
        <w:t>衣</w:t>
      </w:r>
      <w:r>
        <w:rPr>
          <w:noProof/>
        </w:rPr>
        <w:t xml:space="preserve"> (clothing)’, ‘</w:t>
      </w:r>
      <w:r>
        <w:rPr>
          <w:rFonts w:ascii="MS Gothic" w:eastAsia="MS Gothic" w:hAnsi="MS Gothic" w:cs="MS Gothic" w:hint="eastAsia"/>
          <w:noProof/>
        </w:rPr>
        <w:t>食</w:t>
      </w:r>
      <w:r>
        <w:rPr>
          <w:noProof/>
        </w:rPr>
        <w:t xml:space="preserve"> (food)’, ‘</w:t>
      </w:r>
      <w:r>
        <w:rPr>
          <w:rFonts w:ascii="MS Gothic" w:eastAsia="MS Gothic" w:hAnsi="MS Gothic" w:cs="MS Gothic" w:hint="eastAsia"/>
          <w:noProof/>
        </w:rPr>
        <w:t>住</w:t>
      </w:r>
      <w:r>
        <w:rPr>
          <w:noProof/>
        </w:rPr>
        <w:t xml:space="preserve"> (shelter)’ and two cultures/languages – America/English and Japan/Japanese – to examine which dominates our society by looking at proverbs, phrases, the era and the expansion of words as the example describes above. To do this, firstly, we look at the definitions of culture and language. Next, we create two assumptions – culture dominates human society and language dominates human society – in which to consider each view. Lastly, we determine who dominates the human society.</w:t>
      </w:r>
    </w:p>
    <w:p w14:paraId="5DCD46EB" w14:textId="77777777" w:rsidR="0048524B" w:rsidRDefault="0048524B"/>
    <w:p w14:paraId="27269FF5" w14:textId="77777777" w:rsidR="0048524B" w:rsidRDefault="0048524B">
      <w:r w:rsidRPr="002E1C1E">
        <w:rPr>
          <w:b/>
          <w:noProof/>
        </w:rPr>
        <w:t>Takumi</w:t>
      </w:r>
      <w:r w:rsidRPr="008357DE">
        <w:rPr>
          <w:b/>
        </w:rPr>
        <w:t xml:space="preserve"> </w:t>
      </w:r>
      <w:r w:rsidRPr="002E1C1E">
        <w:rPr>
          <w:b/>
          <w:noProof/>
        </w:rPr>
        <w:t>Ishida</w:t>
      </w:r>
      <w:r w:rsidRPr="008357DE">
        <w:rPr>
          <w:b/>
        </w:rPr>
        <w:t xml:space="preserve"> </w:t>
      </w:r>
      <w:r>
        <w:rPr>
          <w:b/>
        </w:rPr>
        <w:t xml:space="preserve"> </w:t>
      </w:r>
      <w:r>
        <w:t>(Kyushu University, Japan)</w:t>
      </w:r>
    </w:p>
    <w:p w14:paraId="03334544" w14:textId="77777777" w:rsidR="00E14123" w:rsidRPr="00E14123" w:rsidRDefault="00E14123">
      <w:pPr>
        <w:rPr>
          <w:noProof/>
        </w:rPr>
      </w:pPr>
      <w:r w:rsidRPr="00E14123">
        <w:rPr>
          <w:bCs/>
        </w:rPr>
        <w:t>Code Switching between Standard Japanese and Yamaguchi Dialect as a Form of Bilingualism: Advantages and Disadvantages</w:t>
      </w:r>
      <w:r w:rsidRPr="00E14123">
        <w:rPr>
          <w:noProof/>
        </w:rPr>
        <w:t xml:space="preserve"> </w:t>
      </w:r>
    </w:p>
    <w:p w14:paraId="34760E7E" w14:textId="60F4FC98" w:rsidR="0048524B" w:rsidRDefault="0048524B">
      <w:r>
        <w:rPr>
          <w:noProof/>
        </w:rPr>
        <w:t>Being bilingual is usually seen as being a positive thing as it means people can communicate with those from other countries. However, there are some negative points to being bilingual. The capacity of the brain to command language is the same for those who are bilingual and those who only speak one language. Also, the reasoning skill of bilingual people is somewhat lower when they use either language. I am bilingual; I speak standard Japanese and the Yamaguchi and Hakata dialects. Both vocabulary and grammar of the two languages are different. I speak Yamaguchi with my family and used standard Japanese at my school in Chiba. Since I have moved to Kyushu, I have used only the Hakata dialect, which is similar to the Yamaguchi dialect. I have found that it is a little hard for me to maintain concentration during class because some teachers use the dialect, which I had never used when studying. I have focused on only the bad points of being bilingual in this abstract. However, my study focuses not only on the bad points but also the merits of being bilingual. My presentation will be on my wide-ranging research on the influence of being bilingual.</w:t>
      </w:r>
    </w:p>
    <w:p w14:paraId="3016D044" w14:textId="77777777" w:rsidR="0048524B" w:rsidRDefault="0048524B"/>
    <w:p w14:paraId="76408808" w14:textId="77777777" w:rsidR="0048524B" w:rsidRDefault="0048524B">
      <w:r w:rsidRPr="002E1C1E">
        <w:rPr>
          <w:b/>
          <w:noProof/>
        </w:rPr>
        <w:t>Devika</w:t>
      </w:r>
      <w:r w:rsidRPr="008357DE">
        <w:rPr>
          <w:b/>
        </w:rPr>
        <w:t xml:space="preserve"> </w:t>
      </w:r>
      <w:r w:rsidRPr="002E1C1E">
        <w:rPr>
          <w:b/>
          <w:noProof/>
        </w:rPr>
        <w:t>Pandit,</w:t>
      </w:r>
      <w:r w:rsidRPr="008357DE">
        <w:rPr>
          <w:b/>
        </w:rPr>
        <w:t xml:space="preserve"> </w:t>
      </w:r>
      <w:r w:rsidRPr="002E1C1E">
        <w:rPr>
          <w:b/>
          <w:noProof/>
        </w:rPr>
        <w:t>Vasiliki Franco-Klothos and Yin Chi Hau</w:t>
      </w:r>
      <w:r>
        <w:rPr>
          <w:b/>
        </w:rPr>
        <w:t xml:space="preserve"> </w:t>
      </w:r>
      <w:r w:rsidRPr="008357DE">
        <w:t>(</w:t>
      </w:r>
      <w:r>
        <w:rPr>
          <w:noProof/>
        </w:rPr>
        <w:t>Monash University Australia</w:t>
      </w:r>
      <w:r>
        <w:t>)</w:t>
      </w:r>
    </w:p>
    <w:p w14:paraId="24AF981D" w14:textId="77777777" w:rsidR="0048524B" w:rsidRDefault="0048524B">
      <w:pPr>
        <w:rPr>
          <w:i/>
        </w:rPr>
      </w:pPr>
      <w:r w:rsidRPr="002E1C1E">
        <w:rPr>
          <w:i/>
          <w:noProof/>
        </w:rPr>
        <w:t>Conceptualising ‘Happiness’: A comparative study between L1 Spanish and L1 Australian English speakers</w:t>
      </w:r>
    </w:p>
    <w:p w14:paraId="7F6B5817" w14:textId="77777777" w:rsidR="0048524B" w:rsidRDefault="0048524B" w:rsidP="00AC7DBF">
      <w:pPr>
        <w:rPr>
          <w:noProof/>
        </w:rPr>
      </w:pPr>
      <w:r>
        <w:rPr>
          <w:noProof/>
        </w:rPr>
        <w:t>Language is a repository for cultural understandings within a community of practice. Vivid visual and cultural imagery embedded in language affords us an insight into the collective experiences of a cultural group. This imagery manifests through cultural conceptualisations – group-level cognition that guides thought and behaviour patterns in specific circumstances.</w:t>
      </w:r>
    </w:p>
    <w:p w14:paraId="541F561A" w14:textId="77777777" w:rsidR="0048524B" w:rsidRDefault="0048524B" w:rsidP="00AC7DBF">
      <w:pPr>
        <w:rPr>
          <w:noProof/>
        </w:rPr>
      </w:pPr>
      <w:r>
        <w:rPr>
          <w:noProof/>
        </w:rPr>
        <w:lastRenderedPageBreak/>
        <w:t>Cultural conceptualisations are composed of schemas, categories and metaphors, heterogeneously distributed across cultural groups. This serves as the groundwork for Sharifian’s theory of Cultural Linguistics (2015), which I employ in my paper to explore how L1 Spanish and L1 Australian English speakers conceptualise and express ‘happiness’ as an emotion in a distinct manner.</w:t>
      </w:r>
    </w:p>
    <w:p w14:paraId="51370513" w14:textId="77777777" w:rsidR="0048524B" w:rsidRDefault="0048524B" w:rsidP="00AC7DBF">
      <w:pPr>
        <w:rPr>
          <w:noProof/>
        </w:rPr>
      </w:pPr>
      <w:r>
        <w:rPr>
          <w:noProof/>
        </w:rPr>
        <w:t>My paper is grounded in the divide between cultural orientations – collectivistic versus individualistic societies. Using semi-structured interviews, three question categories are administered to three L1 Spanish and three L1 Australian English speakers’ immediate word response to analyse participants’ basal understanding of happiness, physical expressions of happiness and figurative language for happiness.</w:t>
      </w:r>
    </w:p>
    <w:p w14:paraId="46CA9DBE" w14:textId="77777777" w:rsidR="0048524B" w:rsidRDefault="0048524B" w:rsidP="00AC7DBF">
      <w:pPr>
        <w:rPr>
          <w:noProof/>
        </w:rPr>
      </w:pPr>
      <w:r>
        <w:rPr>
          <w:noProof/>
        </w:rPr>
        <w:t>My research illustrates the contrast between perspective-based thought patterns and achievement-oriented mindsets in collectivistic and individualistic societies respectively, which explains the association of happiness with interpersonal relationships and goal fulfilment in the Spanish and Australian English vernaculars.</w:t>
      </w:r>
    </w:p>
    <w:p w14:paraId="661254D1" w14:textId="77777777" w:rsidR="0048524B" w:rsidRDefault="0048524B">
      <w:r>
        <w:rPr>
          <w:noProof/>
        </w:rPr>
        <w:t>A finer cultural analysis establishes that although happiness as an emotion universally relates to intense satisfaction, its conceptualisation and subsequent expression is linked with semiotic cultural knowledge encoded in respective languages. This holds relevance for intercultural communication, where divergent conceptualisations and expressions of emotion categories could be potential sources of misunderstanding and miscommunication.</w:t>
      </w:r>
    </w:p>
    <w:p w14:paraId="684CCB1D" w14:textId="77777777" w:rsidR="0048524B" w:rsidRDefault="0048524B"/>
    <w:p w14:paraId="6518F4AB" w14:textId="77777777" w:rsidR="0048524B" w:rsidRDefault="0048524B">
      <w:r w:rsidRPr="002E1C1E">
        <w:rPr>
          <w:b/>
          <w:noProof/>
        </w:rPr>
        <w:t>Darcy</w:t>
      </w:r>
      <w:r w:rsidRPr="008357DE">
        <w:rPr>
          <w:b/>
        </w:rPr>
        <w:t xml:space="preserve"> </w:t>
      </w:r>
      <w:r w:rsidRPr="002E1C1E">
        <w:rPr>
          <w:b/>
          <w:noProof/>
        </w:rPr>
        <w:t>Whitworth</w:t>
      </w:r>
      <w:r w:rsidRPr="008357DE">
        <w:rPr>
          <w:b/>
        </w:rPr>
        <w:t xml:space="preserve"> </w:t>
      </w:r>
      <w:r>
        <w:rPr>
          <w:b/>
        </w:rPr>
        <w:t xml:space="preserve"> </w:t>
      </w:r>
      <w:r w:rsidRPr="008357DE">
        <w:t>(</w:t>
      </w:r>
      <w:r>
        <w:rPr>
          <w:noProof/>
        </w:rPr>
        <w:t>Monash University Australia</w:t>
      </w:r>
      <w:r>
        <w:t>)</w:t>
      </w:r>
    </w:p>
    <w:p w14:paraId="096F3BDC" w14:textId="77777777" w:rsidR="0048524B" w:rsidRDefault="0048524B">
      <w:pPr>
        <w:rPr>
          <w:i/>
        </w:rPr>
      </w:pPr>
      <w:r w:rsidRPr="002E1C1E">
        <w:rPr>
          <w:i/>
          <w:noProof/>
        </w:rPr>
        <w:t>Analysing Speech Identity Through Language Variation: A comparative case study of the role of Ga/O and Te-iru/Teru in contemporary Japanese</w:t>
      </w:r>
    </w:p>
    <w:p w14:paraId="0B582471" w14:textId="77777777" w:rsidR="0048524B" w:rsidRDefault="0048524B" w:rsidP="00AC7DBF">
      <w:pPr>
        <w:rPr>
          <w:noProof/>
        </w:rPr>
      </w:pPr>
      <w:r>
        <w:rPr>
          <w:noProof/>
        </w:rPr>
        <w:t>In modern Japanese, distinctions between standard and non-standard language types are rapidly changing through the socio-cultural development of colloquial speech and individual associations with a range of social groups. It is therefore imperative to critically assess modern-day shifts in the Japanese language to identify any potential variants in speech and subsequent belief-systems that have emerged through these cultural changes.</w:t>
      </w:r>
    </w:p>
    <w:p w14:paraId="4F7ABB65" w14:textId="77777777" w:rsidR="0048524B" w:rsidRDefault="0048524B" w:rsidP="00AC7DBF">
      <w:pPr>
        <w:rPr>
          <w:noProof/>
        </w:rPr>
      </w:pPr>
      <w:r>
        <w:rPr>
          <w:noProof/>
        </w:rPr>
        <w:t>Harnessing qualitative methods through the distribution of two wide-scale surveys, this research performed a critical comparative analysis on two distinctive pairs of Japanese variables (Ga/O) and (Te-iru/Teru). The study aimed to gauge public perceptions of the variant form to unearth the core cultural conceptualisations associated with their use and how these ideological underpinnings in turn impacted individual identity construction.</w:t>
      </w:r>
    </w:p>
    <w:p w14:paraId="3274024F" w14:textId="77777777" w:rsidR="0048524B" w:rsidRDefault="0048524B" w:rsidP="00AC7DBF">
      <w:pPr>
        <w:rPr>
          <w:noProof/>
        </w:rPr>
      </w:pPr>
      <w:r>
        <w:rPr>
          <w:noProof/>
        </w:rPr>
        <w:t>Results suggest that the Japanese variant use is dependent on the socio-cultural context in which the utterance is spoken and can be linked to a desire to construct an identity relative to one’s immediate social status or group. Both pairs of variants produced qualitatively different results, with a contrast in the type of social values and beliefs associated between each variant.</w:t>
      </w:r>
    </w:p>
    <w:p w14:paraId="27896AC4" w14:textId="77777777" w:rsidR="0048524B" w:rsidRDefault="0048524B" w:rsidP="0048524B">
      <w:r>
        <w:rPr>
          <w:noProof/>
        </w:rPr>
        <w:t>Comparative analysis of these two pairs of variables is yet to be performed. Furthermore, the combination of language-attitude, social meaning and language variation research represents a unique development in the field of socio-linguistics. The multi-faceted nature of this project provides a basis to explore the connection between individual perception, language and identity construction, subsequently demonstrating a critical understanding of the language culture relationship in modern Japan.</w:t>
      </w:r>
      <w:r>
        <w:br w:type="page"/>
      </w:r>
    </w:p>
    <w:p w14:paraId="5DD1A16A" w14:textId="77777777" w:rsidR="0048524B" w:rsidRPr="0048524B" w:rsidRDefault="0048524B" w:rsidP="0048524B">
      <w:pPr>
        <w:pStyle w:val="Heading1"/>
      </w:pPr>
      <w:r w:rsidRPr="0048524B">
        <w:lastRenderedPageBreak/>
        <w:t xml:space="preserve">Panel 1B: </w:t>
      </w:r>
      <w:r w:rsidRPr="0048524B">
        <w:rPr>
          <w:lang w:eastAsia="en-GB"/>
        </w:rPr>
        <w:t>GLARP Feature Panel</w:t>
      </w:r>
    </w:p>
    <w:p w14:paraId="4E2A52E6" w14:textId="77777777" w:rsidR="0048524B" w:rsidRDefault="0048524B">
      <w:pPr>
        <w:rPr>
          <w:b/>
          <w:noProof/>
        </w:rPr>
      </w:pPr>
    </w:p>
    <w:p w14:paraId="48BB10E7" w14:textId="77777777" w:rsidR="0048524B" w:rsidRDefault="0048524B">
      <w:r w:rsidRPr="002E1C1E">
        <w:rPr>
          <w:b/>
          <w:noProof/>
        </w:rPr>
        <w:t>Jenna</w:t>
      </w:r>
      <w:r w:rsidRPr="008357DE">
        <w:rPr>
          <w:b/>
        </w:rPr>
        <w:t xml:space="preserve"> </w:t>
      </w:r>
      <w:r w:rsidRPr="002E1C1E">
        <w:rPr>
          <w:b/>
          <w:noProof/>
        </w:rPr>
        <w:t>Barker</w:t>
      </w:r>
      <w:r w:rsidRPr="008357DE">
        <w:rPr>
          <w:b/>
        </w:rPr>
        <w:t xml:space="preserve"> </w:t>
      </w:r>
      <w:r>
        <w:rPr>
          <w:b/>
        </w:rPr>
        <w:t xml:space="preserve"> </w:t>
      </w:r>
      <w:r w:rsidRPr="008357DE">
        <w:t>(</w:t>
      </w:r>
      <w:r>
        <w:rPr>
          <w:noProof/>
        </w:rPr>
        <w:t>Monash University Australia)</w:t>
      </w:r>
    </w:p>
    <w:p w14:paraId="4B845578" w14:textId="77777777" w:rsidR="0048524B" w:rsidRDefault="0048524B">
      <w:pPr>
        <w:rPr>
          <w:i/>
        </w:rPr>
      </w:pPr>
      <w:r w:rsidRPr="002E1C1E">
        <w:rPr>
          <w:i/>
          <w:noProof/>
        </w:rPr>
        <w:t>Branding Methods in Conservation Communication: The giant panda as a flagship species</w:t>
      </w:r>
    </w:p>
    <w:p w14:paraId="2ECFB77C" w14:textId="77777777" w:rsidR="0048524B" w:rsidRDefault="0048524B">
      <w:r>
        <w:rPr>
          <w:noProof/>
        </w:rPr>
        <w:t>Recent scientific research has identified trends of extreme population decline in terrestrial species and stable animal extinction rates, causing a sixth mass extinction. Conservation communication is therefore vital for raising public awareness and encouraging urgent action towards addressing these extreme population declines and rapid declines in global biodiversity. Flagship species are species that are used to increase public awareness and attract financial support for conservation efforts. However, there is an underlying premise that species chosen as conservation priorities are often selected based on public opinion, rather than ecological importance. This preliminary study aimed to investigate the current use and implications of flagship species as branding tools in conservation communication contexts by focusing on the use of a globally recognised species, the giant panda. The multi-faceted, interdisciplinary study design involved an interview with the World Wildlife Fund China, visual data collection of in-situ logo and branding materials at the Bifengxia Giant Panda Base and the Chengdu Research Base, and a literature review. Results found that there are large disparities in opinions of trade-offs between the use of flagship species, and the conservation of ecologically important species. The visual analysis results highlight the importance of context, and the miscommunication between visual form and its intended meaning. This research can inform conservation stakeholders of the benefits and consequences of implementing heavier branding and marketing techniques of particular endangered species in conservation campaigns.</w:t>
      </w:r>
    </w:p>
    <w:p w14:paraId="71BED02F" w14:textId="77777777" w:rsidR="0048524B" w:rsidRDefault="0048524B"/>
    <w:p w14:paraId="4045877F" w14:textId="77777777" w:rsidR="0048524B" w:rsidRDefault="0048524B">
      <w:r w:rsidRPr="002E1C1E">
        <w:rPr>
          <w:b/>
          <w:noProof/>
        </w:rPr>
        <w:t>Nathaniel</w:t>
      </w:r>
      <w:r w:rsidRPr="008357DE">
        <w:rPr>
          <w:b/>
        </w:rPr>
        <w:t xml:space="preserve"> </w:t>
      </w:r>
      <w:r w:rsidRPr="002E1C1E">
        <w:rPr>
          <w:b/>
          <w:noProof/>
        </w:rPr>
        <w:t>Sgambellone,</w:t>
      </w:r>
      <w:r w:rsidRPr="008357DE">
        <w:rPr>
          <w:b/>
        </w:rPr>
        <w:t xml:space="preserve"> </w:t>
      </w:r>
      <w:r w:rsidRPr="002E1C1E">
        <w:rPr>
          <w:b/>
          <w:noProof/>
        </w:rPr>
        <w:t>Stephanie Graham-Nellor and Tayla Gutteridge</w:t>
      </w:r>
      <w:r>
        <w:rPr>
          <w:b/>
        </w:rPr>
        <w:t xml:space="preserve"> </w:t>
      </w:r>
      <w:r w:rsidRPr="008357DE">
        <w:t>(</w:t>
      </w:r>
      <w:r>
        <w:rPr>
          <w:noProof/>
        </w:rPr>
        <w:t>Monash University Australia)</w:t>
      </w:r>
    </w:p>
    <w:p w14:paraId="466BE6AF" w14:textId="77777777" w:rsidR="0048524B" w:rsidRDefault="0048524B">
      <w:pPr>
        <w:rPr>
          <w:i/>
        </w:rPr>
      </w:pPr>
      <w:r w:rsidRPr="002E1C1E">
        <w:rPr>
          <w:i/>
          <w:noProof/>
        </w:rPr>
        <w:t>The Vanishing Culture? Chronic ear disease and language endangerment as a means of culture loss in Australian Indigenous communities</w:t>
      </w:r>
    </w:p>
    <w:p w14:paraId="347D8F5B" w14:textId="77777777" w:rsidR="0048524B" w:rsidRDefault="0048524B">
      <w:r>
        <w:rPr>
          <w:noProof/>
        </w:rPr>
        <w:t xml:space="preserve">The colonial history of the First Australians has been characterised by violence, suffering, neglect and deprivation. While Australian society is becoming increasingly aware of these historical injustices, little scholarly attention has been paid to the interplay between Indigenous oral history and the factors that negatively affect its diffusion. The poor health record of Indigenous communities has been documented thoroughly. However, our literature review exposes the gap in current literature concerning how preventable medical conditions, particularly middle ear infections, affect Indigenous communities and lead to the decline of Indigenous oral traditions being passed down to future generations. Our review begins with an analysis of how chronic ear disease and the crucial importance of oral history to Indigenous culture has been pushed to the margins of historical debate. This is followed by an illustration of how the medical literature concerning middle ear infections fails to draw a link between hearing loss and the destruction of Indigenous oral history. We then examine the impact of the law on the intergenerational transfer of oral history, in particular the lack of sufficient legal protection or recognition afforded to Indigenous cultural practices. We thus contend that this lack of understanding of Indigenous cultural needs demonstrates a dangerous unwillingness within Australian society to recognise the importance of Indigenous oral traditions. Ultimately, this research project encourages politicians, medical professionals and citizens alike to </w:t>
      </w:r>
      <w:r>
        <w:rPr>
          <w:noProof/>
        </w:rPr>
        <w:lastRenderedPageBreak/>
        <w:t>recognise the critical relationship between Indigenous health and culture, highlighting the extremely damaging impact that preventable chronic ear disease has on Indigenous oral history.</w:t>
      </w:r>
    </w:p>
    <w:p w14:paraId="4FF17059" w14:textId="77777777" w:rsidR="0048524B" w:rsidRDefault="0048524B"/>
    <w:p w14:paraId="7C6FDB72" w14:textId="77777777" w:rsidR="0048524B" w:rsidRDefault="0048524B">
      <w:r w:rsidRPr="002E1C1E">
        <w:rPr>
          <w:b/>
          <w:noProof/>
        </w:rPr>
        <w:t>Amy</w:t>
      </w:r>
      <w:r w:rsidRPr="008357DE">
        <w:rPr>
          <w:b/>
        </w:rPr>
        <w:t xml:space="preserve"> </w:t>
      </w:r>
      <w:r w:rsidRPr="002E1C1E">
        <w:rPr>
          <w:b/>
          <w:noProof/>
        </w:rPr>
        <w:t>Gallichio,</w:t>
      </w:r>
      <w:r w:rsidRPr="008357DE">
        <w:rPr>
          <w:b/>
        </w:rPr>
        <w:t xml:space="preserve"> </w:t>
      </w:r>
      <w:r w:rsidRPr="002E1C1E">
        <w:rPr>
          <w:b/>
          <w:noProof/>
        </w:rPr>
        <w:t>Sasha Hermosa, Madeleine Walters and Yong Xin Lim</w:t>
      </w:r>
      <w:r>
        <w:rPr>
          <w:b/>
        </w:rPr>
        <w:t xml:space="preserve"> </w:t>
      </w:r>
      <w:r w:rsidRPr="008357DE">
        <w:t>(</w:t>
      </w:r>
      <w:r>
        <w:rPr>
          <w:noProof/>
        </w:rPr>
        <w:t>Monash University Australia)</w:t>
      </w:r>
    </w:p>
    <w:p w14:paraId="6A42B1CD" w14:textId="77777777" w:rsidR="0048524B" w:rsidRDefault="0048524B">
      <w:pPr>
        <w:rPr>
          <w:i/>
        </w:rPr>
      </w:pPr>
      <w:r w:rsidRPr="002E1C1E">
        <w:rPr>
          <w:i/>
          <w:noProof/>
        </w:rPr>
        <w:t>The Effect of Power Distance on Menstrual Health Literacy in Malaysian and Australian University Students</w:t>
      </w:r>
    </w:p>
    <w:p w14:paraId="1BABFC63" w14:textId="77777777" w:rsidR="0048524B" w:rsidRDefault="0048524B">
      <w:r>
        <w:rPr>
          <w:noProof/>
        </w:rPr>
        <w:t>Menstrual-related issues affect a large percentage of the world’s population, yet there remains a paucity of evidence and appropriate action critical in rectifying these issues. In addressing these concerns, menstrual health literacy is crucial in identifying, understanding and seeking relevant help. In the promotion of health literacy, understanding fundamental cultural differences is essential in promoting equality in access to resources and clinical care. As women’s personal and cultural perspectives of menstruation affect their coping behaviours concerning menstrual-related issues and thus directly impact their health outcomes. This research project examines the impact of power distance on menstrual health literacy in Australian and Malaysian University students. Our cross-cultural examination of these countries sits at the intersection of public health, physiology and psychology. In utilising these disciplines to better understand health literacy disparities, our research focuses on power distance as the major cultural factor in determining menstrual health literacy. Power distance describes the way in which members of a society observe power relationships and hierarchies, and has been found to impact healthcare, as patients have different expectations and communication styles with health workers between high and low power-distance cultures. In this research, we quantitatively investigate cross-cultural differences in menstrual health literacy, in the context of power distance. Using a multi-disciplinary and multi-cultural approach, we propose solutions to reduce the negative effects of power distance to improve menstrual health literacy and associated health outcomes. Ultimately, we aim to create awareness and generate discussion regarding menstrual health literacy among students, academics and clinicians.</w:t>
      </w:r>
    </w:p>
    <w:p w14:paraId="2FFE1F8F" w14:textId="77777777" w:rsidR="0048524B" w:rsidRDefault="0048524B"/>
    <w:p w14:paraId="430D7044" w14:textId="77777777" w:rsidR="0048524B" w:rsidRDefault="0048524B">
      <w:r w:rsidRPr="002E1C1E">
        <w:rPr>
          <w:b/>
          <w:noProof/>
        </w:rPr>
        <w:t>Ashley</w:t>
      </w:r>
      <w:r w:rsidRPr="008357DE">
        <w:rPr>
          <w:b/>
        </w:rPr>
        <w:t xml:space="preserve"> </w:t>
      </w:r>
      <w:r w:rsidRPr="002E1C1E">
        <w:rPr>
          <w:b/>
          <w:noProof/>
        </w:rPr>
        <w:t>Roohizadegan</w:t>
      </w:r>
      <w:r w:rsidRPr="008357DE">
        <w:rPr>
          <w:b/>
        </w:rPr>
        <w:t xml:space="preserve"> </w:t>
      </w:r>
      <w:r w:rsidRPr="002E1C1E">
        <w:rPr>
          <w:b/>
          <w:noProof/>
        </w:rPr>
        <w:t>and Jaydn Nolan</w:t>
      </w:r>
      <w:r>
        <w:rPr>
          <w:b/>
        </w:rPr>
        <w:t xml:space="preserve"> </w:t>
      </w:r>
      <w:r w:rsidRPr="008357DE">
        <w:t>(</w:t>
      </w:r>
      <w:r>
        <w:rPr>
          <w:noProof/>
        </w:rPr>
        <w:t>Monash University Australia)</w:t>
      </w:r>
    </w:p>
    <w:p w14:paraId="7598A6D5" w14:textId="77777777" w:rsidR="0048524B" w:rsidRDefault="0048524B">
      <w:pPr>
        <w:rPr>
          <w:i/>
        </w:rPr>
      </w:pPr>
      <w:r w:rsidRPr="002E1C1E">
        <w:rPr>
          <w:i/>
          <w:noProof/>
        </w:rPr>
        <w:t>Studio Ghibli and Walt Disney Studios: Animation and its national relevance</w:t>
      </w:r>
    </w:p>
    <w:p w14:paraId="7C453A2D" w14:textId="77777777" w:rsidR="0048524B" w:rsidRDefault="0048524B">
      <w:r>
        <w:rPr>
          <w:noProof/>
        </w:rPr>
        <w:t>This study demonstrates a tension between animation studios pursuing a more cosmopolitan mode of production in an era of increasing globalisation and those maintaining a traditional, cultural mode of production. We will explore the cosmopolitan outlook ingrained in Walt Disney Studios and the distinct cultural mode of production of Studio Ghibli and its effects on audience reception through the films’ themes and translation techniques used for Western and Eastern audiences. Through our close textual analysis of recent films from Studio Ghibli and Walt Disney Studios, as well as a qualitative analysis utilising scholarly papers from various academic disciplines, we argue that Studio Ghibli is of significant cultural importance to Japan, particularly due to the studio’s aesthetic ‘standard’ because it continues to be influential in steering Japan’s animation industry away from global industry pressures, while Disney is more commercially driven. Our research not only exposes the dynamic between Walt Disney and Studio Ghibli but also explores the phenomenon surrounding the changing animation industry holistically, including a key dilemma facing culturally and nationally relevant animation studios today: striking a balance between making films that appeal to international audiences and retain its cultural mark.</w:t>
      </w:r>
    </w:p>
    <w:p w14:paraId="06D5D9D8" w14:textId="77777777" w:rsidR="0048524B" w:rsidRDefault="0048524B">
      <w:pPr>
        <w:rPr>
          <w:b/>
          <w:noProof/>
        </w:rPr>
      </w:pPr>
      <w:r>
        <w:rPr>
          <w:b/>
          <w:noProof/>
        </w:rPr>
        <w:br w:type="page"/>
      </w:r>
    </w:p>
    <w:p w14:paraId="5512F2EF" w14:textId="77777777" w:rsidR="0048524B" w:rsidRDefault="0048524B" w:rsidP="0048524B">
      <w:pPr>
        <w:pStyle w:val="Heading1"/>
      </w:pPr>
      <w:r>
        <w:lastRenderedPageBreak/>
        <w:t xml:space="preserve">Panel 1C: </w:t>
      </w:r>
      <w:r w:rsidRPr="0048524B">
        <w:t>Medical Treatments and Improving Human Life</w:t>
      </w:r>
    </w:p>
    <w:p w14:paraId="52FE8EE5" w14:textId="77777777" w:rsidR="0048524B" w:rsidRPr="0048524B" w:rsidRDefault="0048524B" w:rsidP="0048524B"/>
    <w:p w14:paraId="0ABCB964" w14:textId="77777777" w:rsidR="0048524B" w:rsidRDefault="0048524B">
      <w:r w:rsidRPr="002E1C1E">
        <w:rPr>
          <w:b/>
          <w:noProof/>
        </w:rPr>
        <w:t>Michael</w:t>
      </w:r>
      <w:r w:rsidRPr="008357DE">
        <w:rPr>
          <w:b/>
        </w:rPr>
        <w:t xml:space="preserve"> </w:t>
      </w:r>
      <w:r w:rsidRPr="002E1C1E">
        <w:rPr>
          <w:b/>
          <w:noProof/>
        </w:rPr>
        <w:t>Azizagdam</w:t>
      </w:r>
      <w:r w:rsidRPr="008357DE">
        <w:rPr>
          <w:b/>
        </w:rPr>
        <w:t xml:space="preserve"> </w:t>
      </w:r>
      <w:r>
        <w:rPr>
          <w:b/>
        </w:rPr>
        <w:t xml:space="preserve"> </w:t>
      </w:r>
      <w:r w:rsidRPr="008357DE">
        <w:t>(</w:t>
      </w:r>
      <w:r>
        <w:rPr>
          <w:noProof/>
        </w:rPr>
        <w:t>Monash University Australia</w:t>
      </w:r>
      <w:r>
        <w:t>)</w:t>
      </w:r>
    </w:p>
    <w:p w14:paraId="0520EEC6" w14:textId="77777777" w:rsidR="0048524B" w:rsidRDefault="0048524B">
      <w:pPr>
        <w:rPr>
          <w:i/>
        </w:rPr>
      </w:pPr>
      <w:r w:rsidRPr="002E1C1E">
        <w:rPr>
          <w:i/>
          <w:noProof/>
        </w:rPr>
        <w:t>Identification of Biomarkers in the Prostate Cancer Microenvironment</w:t>
      </w:r>
    </w:p>
    <w:p w14:paraId="5B74D34E" w14:textId="77777777" w:rsidR="0048524B" w:rsidRDefault="0048524B">
      <w:r>
        <w:rPr>
          <w:noProof/>
        </w:rPr>
        <w:t>Fibroblasts within the prostate cancer microenvironment (stroma) play a vital role in the progression of cancer. Fibroblasts are the most common stromal cell and can be classified as either: cancer-associated fibroblasts (CAFs) from the cancer site or non-malignant prostate fibroblasts (NPFs) from a benign region. Studies have shown there are epigenomic differences in NPFs and CAFs that are intimately related to gene expression. Currently unknown is how CAFs from moderate Grade Group (GG) and high GG prostate cancers differ. Bioinformatical comparisons of molecular data of CAFs and NPFs has revealed two Biomarkers, which show consistent methylation differences in moderate-grade and high-grade prostate cancers. Thus, the aim of this project was to determine whether the Biomarkers differ in NPFs, moderate and high-grade CAFs. CAF and NPF samples from 18 patients, 9 with moderate GG prostate cancer and 9 with high GG prostate cancer, were analysed using quantitative real-time PCR to determine the levels of Biomarkers 1 and 2. The results showed that the levels of Biomarker 1 did not differ between NPFs and moderate and high-grade CAFs. In contrast, Biomarker 2 showed significantly higher expression in high-grade CAFs compared to NPFs and moderate-grade CAFs. This result is significant as it shows that levels of Biomarker 2 can be used as a diagnostic tool in the distant future to distinguish moderate and high-grade prostate cancer in a similar manner to the PSA test.</w:t>
      </w:r>
    </w:p>
    <w:p w14:paraId="2BDB4C13" w14:textId="77777777" w:rsidR="0048524B" w:rsidRDefault="0048524B"/>
    <w:p w14:paraId="17024E98" w14:textId="77777777" w:rsidR="0048524B" w:rsidRDefault="0048524B">
      <w:r w:rsidRPr="002E1C1E">
        <w:rPr>
          <w:b/>
          <w:noProof/>
        </w:rPr>
        <w:t>Julie</w:t>
      </w:r>
      <w:r w:rsidRPr="008357DE">
        <w:rPr>
          <w:b/>
        </w:rPr>
        <w:t xml:space="preserve"> </w:t>
      </w:r>
      <w:r w:rsidRPr="002E1C1E">
        <w:rPr>
          <w:b/>
          <w:noProof/>
        </w:rPr>
        <w:t>Dao</w:t>
      </w:r>
      <w:r w:rsidRPr="008357DE">
        <w:rPr>
          <w:b/>
        </w:rPr>
        <w:t xml:space="preserve"> </w:t>
      </w:r>
      <w:r>
        <w:rPr>
          <w:b/>
        </w:rPr>
        <w:t xml:space="preserve"> </w:t>
      </w:r>
      <w:r w:rsidRPr="008357DE">
        <w:t>(</w:t>
      </w:r>
      <w:r>
        <w:rPr>
          <w:noProof/>
        </w:rPr>
        <w:t>Monash University Australia</w:t>
      </w:r>
      <w:r>
        <w:t>)</w:t>
      </w:r>
    </w:p>
    <w:p w14:paraId="4E8DE0F4" w14:textId="77777777" w:rsidR="0048524B" w:rsidRDefault="0048524B">
      <w:pPr>
        <w:rPr>
          <w:i/>
        </w:rPr>
      </w:pPr>
      <w:r w:rsidRPr="002E1C1E">
        <w:rPr>
          <w:i/>
          <w:noProof/>
        </w:rPr>
        <w:t>The Effects of Glucocorticoids on Cardiomyocyte Development</w:t>
      </w:r>
    </w:p>
    <w:p w14:paraId="33FBD246" w14:textId="77777777" w:rsidR="0048524B" w:rsidRDefault="0048524B">
      <w:r>
        <w:rPr>
          <w:noProof/>
        </w:rPr>
        <w:t>Each year, approximately 10 per cent of all babies are born early, accounting for almost 15 million births worldwide. This is a concern as complications of premature birth are the leading cause of death in children under 5 years of age, causing more than 1 million deaths. Premature babies are born at a time when their vital organs, including the heart and lungs, have not fully developed. Glucocorticoids are hormones produced in the body that play a vital role in maturing the organs in preparation for life after birth. Glucocorticoid treatment, termed antenatal corticosteroid therapy (ACT), is administered to mothers at risk of preterm birth to improve lung development of their unborn babies, thus decreasing their chance of death. ACT has been presumed safe for mothers and their unborn babies; however, convincing new evidence in human/animal studies suggests that exposure to glucocorticoids during development may lead to harmful enlargement of the heart and increase the risk of heart disease in adulthood. To further understand the effects of glucocorticoid therapy, my project involves examining the hearts of mice that have been genetically developed to lack the receptors that glucocorticoids act on to delineate the role of glucocorticoids in the development of heart cells. My research aims to provide a greater understanding of the role of glucocorticoid actions on heart cell development – and provide an important basis for refinement of current therapies or the development of alternative therapies –that can optimise the benefits of glucocorticoid therapy while reducing the adverse side effects for premature infants.</w:t>
      </w:r>
    </w:p>
    <w:p w14:paraId="5EBE94E7" w14:textId="77777777" w:rsidR="0048524B" w:rsidRDefault="0048524B"/>
    <w:p w14:paraId="50635B14" w14:textId="77777777" w:rsidR="0048524B" w:rsidRDefault="0048524B">
      <w:pPr>
        <w:rPr>
          <w:b/>
          <w:noProof/>
        </w:rPr>
      </w:pPr>
    </w:p>
    <w:p w14:paraId="0EA9DD18" w14:textId="77777777" w:rsidR="0048524B" w:rsidRDefault="0048524B">
      <w:r w:rsidRPr="002E1C1E">
        <w:rPr>
          <w:b/>
          <w:noProof/>
        </w:rPr>
        <w:lastRenderedPageBreak/>
        <w:t>Joshua</w:t>
      </w:r>
      <w:r w:rsidRPr="008357DE">
        <w:rPr>
          <w:b/>
        </w:rPr>
        <w:t xml:space="preserve"> </w:t>
      </w:r>
      <w:r w:rsidRPr="002E1C1E">
        <w:rPr>
          <w:b/>
          <w:noProof/>
        </w:rPr>
        <w:t>Johnstone</w:t>
      </w:r>
      <w:r w:rsidRPr="008357DE">
        <w:rPr>
          <w:b/>
        </w:rPr>
        <w:t xml:space="preserve"> </w:t>
      </w:r>
      <w:r>
        <w:rPr>
          <w:b/>
        </w:rPr>
        <w:t xml:space="preserve"> </w:t>
      </w:r>
      <w:r w:rsidRPr="008357DE">
        <w:t>(</w:t>
      </w:r>
      <w:r>
        <w:rPr>
          <w:noProof/>
        </w:rPr>
        <w:t>Monash University Australia</w:t>
      </w:r>
      <w:r>
        <w:t>)</w:t>
      </w:r>
    </w:p>
    <w:p w14:paraId="2593987E" w14:textId="77777777" w:rsidR="0048524B" w:rsidRDefault="0048524B">
      <w:pPr>
        <w:rPr>
          <w:i/>
        </w:rPr>
      </w:pPr>
      <w:r w:rsidRPr="002E1C1E">
        <w:rPr>
          <w:i/>
          <w:noProof/>
        </w:rPr>
        <w:t>Living Past 100: The role of telomerase in ageing</w:t>
      </w:r>
    </w:p>
    <w:p w14:paraId="2A4DEB26" w14:textId="77777777" w:rsidR="0048524B" w:rsidRDefault="0048524B">
      <w:r>
        <w:rPr>
          <w:noProof/>
        </w:rPr>
        <w:t>That humans age with time is universally known; yet, an understanding of how and why ageing occurs is far less common. Playing a key role in ageing is an enzyme named telomerase. By maintaining protective caps on the ends of our chromosomes, known as telomeres, telomerase prevents the degradation of coding DNA: the instructions for building and maintaining the human body. In humans, however, telomerase expression ceases after embryonic development, from which point the telomeres begin to shorten with each cell division, until the damage reaches the coding DNA and compromises cell function. This decrease in cell function is responsible for the physical and mental deterioration observed with old age. It logically follows that the human lifespan may be extended by promoting the expression of telomerase beyond the embryonic stage. However, while this assumption has been confirmed in trials with model organisms, increased telomerase expression also comes with consequences such as promoting cancer growth. This investigation aims to provide an overview of the known genetic basis of ageing and concurrently identify knowledge gaps requiring future investigation. The general population holds an obvious interest in extending individual lifespans, especially where quality of life is maintained. There is, however, a greater, more universal advantage to humankind’s extended lifespan; this would allow the greatest minds among us to research and educate for longer, vastly accelerating the scientific progression of our species.</w:t>
      </w:r>
    </w:p>
    <w:p w14:paraId="0A42CE53" w14:textId="77777777" w:rsidR="0048524B" w:rsidRDefault="0048524B"/>
    <w:p w14:paraId="3FF1FE80" w14:textId="77777777" w:rsidR="0048524B" w:rsidRDefault="0048524B">
      <w:r w:rsidRPr="002E1C1E">
        <w:rPr>
          <w:b/>
          <w:noProof/>
        </w:rPr>
        <w:t>Prathesa</w:t>
      </w:r>
      <w:r w:rsidRPr="008357DE">
        <w:rPr>
          <w:b/>
        </w:rPr>
        <w:t xml:space="preserve"> </w:t>
      </w:r>
      <w:r w:rsidRPr="002E1C1E">
        <w:rPr>
          <w:b/>
          <w:noProof/>
        </w:rPr>
        <w:t>Selvaraj</w:t>
      </w:r>
      <w:r w:rsidRPr="008357DE">
        <w:rPr>
          <w:b/>
        </w:rPr>
        <w:t xml:space="preserve"> </w:t>
      </w:r>
      <w:r>
        <w:rPr>
          <w:b/>
        </w:rPr>
        <w:t xml:space="preserve"> </w:t>
      </w:r>
      <w:r w:rsidRPr="008357DE">
        <w:t>(</w:t>
      </w:r>
      <w:r>
        <w:rPr>
          <w:noProof/>
        </w:rPr>
        <w:t>Monash University Australia</w:t>
      </w:r>
      <w:r>
        <w:t>)</w:t>
      </w:r>
    </w:p>
    <w:p w14:paraId="41BD3EC1" w14:textId="77777777" w:rsidR="0048524B" w:rsidRDefault="0048524B">
      <w:pPr>
        <w:rPr>
          <w:i/>
        </w:rPr>
      </w:pPr>
      <w:r w:rsidRPr="002E1C1E">
        <w:rPr>
          <w:i/>
          <w:noProof/>
        </w:rPr>
        <w:t>An Introduction to the Nervous System and an Analysis of the Effect of Nerve Agents on the Human Body</w:t>
      </w:r>
    </w:p>
    <w:p w14:paraId="141D4C2E" w14:textId="77777777" w:rsidR="0048524B" w:rsidRDefault="0048524B" w:rsidP="00AC7DBF">
      <w:pPr>
        <w:rPr>
          <w:noProof/>
        </w:rPr>
      </w:pPr>
      <w:r>
        <w:rPr>
          <w:noProof/>
        </w:rPr>
        <w:t>Humans are remarkable creatures. A cell in our body has the capacity to uptake information from the environment and convert that information into an action. This cell – the neuron – is capable of sending impulses at tremendous speeds, and reacts almost instantaneously. Together, in harmony, neurons are able to bridge the gap between the external world and our conscious (and unconscious) response to it. Our biological machinery is extraordinary. But, like any other creation, it can be compromised – in this case, by poisons. Such poisons, relative to the nervous system, are known as nerve agents. Nerve agents target the mechanical systems in which neurons communicate. This results in the victim’s death from exhaustion.</w:t>
      </w:r>
    </w:p>
    <w:p w14:paraId="430040ED" w14:textId="77777777" w:rsidR="0048524B" w:rsidRDefault="0048524B">
      <w:r>
        <w:rPr>
          <w:noProof/>
        </w:rPr>
        <w:t>This paper presents a review of nerve poisons used over the course of history and how they affect the human body. They range from the precarious sarin gas to the perilous venom from the infamous black widow spider. It is important to appreciate the significance of the nervous system to fully understand the effect neurotoxins have on human beings. This analysis will include detailed investigation on nerve agents, the ultimate fate to the human body and antidotes for these perilous poisons.</w:t>
      </w:r>
    </w:p>
    <w:p w14:paraId="7BC7911F" w14:textId="77777777" w:rsidR="0048524B" w:rsidRDefault="0048524B"/>
    <w:p w14:paraId="321747FA" w14:textId="77777777" w:rsidR="0048524B" w:rsidRDefault="0048524B">
      <w:pPr>
        <w:rPr>
          <w:b/>
          <w:noProof/>
        </w:rPr>
      </w:pPr>
      <w:r>
        <w:rPr>
          <w:b/>
          <w:noProof/>
        </w:rPr>
        <w:br w:type="page"/>
      </w:r>
    </w:p>
    <w:p w14:paraId="42310315" w14:textId="77777777" w:rsidR="0048524B" w:rsidRDefault="0048524B" w:rsidP="0048524B">
      <w:pPr>
        <w:pStyle w:val="Heading1"/>
      </w:pPr>
      <w:r>
        <w:lastRenderedPageBreak/>
        <w:t xml:space="preserve">Panel 2A: </w:t>
      </w:r>
      <w:r w:rsidRPr="0048524B">
        <w:t>Psychology and Mental Health</w:t>
      </w:r>
    </w:p>
    <w:p w14:paraId="6D501E7C" w14:textId="77777777" w:rsidR="0048524B" w:rsidRPr="0048524B" w:rsidRDefault="0048524B" w:rsidP="0048524B"/>
    <w:p w14:paraId="35AE5D6E" w14:textId="77777777" w:rsidR="0048524B" w:rsidRDefault="0048524B">
      <w:r w:rsidRPr="002E1C1E">
        <w:rPr>
          <w:b/>
          <w:noProof/>
        </w:rPr>
        <w:t>Kotoho</w:t>
      </w:r>
      <w:r w:rsidRPr="008357DE">
        <w:rPr>
          <w:b/>
        </w:rPr>
        <w:t xml:space="preserve"> </w:t>
      </w:r>
      <w:r w:rsidRPr="002E1C1E">
        <w:rPr>
          <w:b/>
          <w:noProof/>
        </w:rPr>
        <w:t>Yamashiro</w:t>
      </w:r>
      <w:r w:rsidRPr="008357DE">
        <w:rPr>
          <w:b/>
        </w:rPr>
        <w:t xml:space="preserve"> </w:t>
      </w:r>
      <w:r>
        <w:rPr>
          <w:b/>
        </w:rPr>
        <w:t xml:space="preserve"> </w:t>
      </w:r>
      <w:r>
        <w:t>(Kyushu University, Japan)</w:t>
      </w:r>
    </w:p>
    <w:p w14:paraId="7D430B77" w14:textId="77777777" w:rsidR="0048524B" w:rsidRDefault="0048524B">
      <w:pPr>
        <w:rPr>
          <w:i/>
        </w:rPr>
      </w:pPr>
      <w:r w:rsidRPr="002E1C1E">
        <w:rPr>
          <w:i/>
          <w:noProof/>
        </w:rPr>
        <w:t>Why Do Some Japanese People Refuse to Recognise Brain Death?</w:t>
      </w:r>
    </w:p>
    <w:p w14:paraId="101BD184" w14:textId="77777777" w:rsidR="0048524B" w:rsidRDefault="0048524B">
      <w:r>
        <w:rPr>
          <w:noProof/>
        </w:rPr>
        <w:t>In 2017, medical expenses in Japan were 42 trillion yen. It is certain that medical expenses are putting pressure on Japan’s finances. As a solution to this problem, there is organ transplantation. In 2017, there were 112 cases where organs were provided and 380 organ transplants were performed in Japan. That translates to 0.05 organ transplants per million in Japan against 15.6 organ transplants per million in Australia. Organ transplantation does not occur in Japan much. The Japanese do not consider brain death to be ‘human death’. After brain death, more kinds of organs can be harvested for organ donation than after cardiac arrest. However, many Japanese do not consider brain death to be ‘human death’ and do not allow organ harvesting for donation under brain death. Therefore, it is obvious that the number of organ donations will continue to decline. In this research, I will consider the reasons why Japanese do not consider brain death to be ‘human death’ and I hope to increase the number of organ transplants in Japan. Comparing the cultural backgrounds of Japan and the world with the legal system could eventually lead to a reduction in medical expenses in Japan.</w:t>
      </w:r>
    </w:p>
    <w:p w14:paraId="16415D0B" w14:textId="77777777" w:rsidR="0048524B" w:rsidRDefault="0048524B"/>
    <w:p w14:paraId="649B294A" w14:textId="77777777" w:rsidR="0048524B" w:rsidRDefault="0048524B">
      <w:r w:rsidRPr="002E1C1E">
        <w:rPr>
          <w:b/>
          <w:noProof/>
        </w:rPr>
        <w:t>Wenliang</w:t>
      </w:r>
      <w:r w:rsidRPr="008357DE">
        <w:rPr>
          <w:b/>
        </w:rPr>
        <w:t xml:space="preserve"> </w:t>
      </w:r>
      <w:r w:rsidRPr="002E1C1E">
        <w:rPr>
          <w:b/>
          <w:noProof/>
        </w:rPr>
        <w:t>Loh</w:t>
      </w:r>
      <w:r w:rsidRPr="008357DE">
        <w:rPr>
          <w:b/>
        </w:rPr>
        <w:t xml:space="preserve"> </w:t>
      </w:r>
      <w:r>
        <w:rPr>
          <w:b/>
        </w:rPr>
        <w:t xml:space="preserve"> </w:t>
      </w:r>
      <w:r w:rsidRPr="008357DE">
        <w:t>(</w:t>
      </w:r>
      <w:r>
        <w:rPr>
          <w:noProof/>
        </w:rPr>
        <w:t>Monash University Australia</w:t>
      </w:r>
      <w:r>
        <w:t>)</w:t>
      </w:r>
    </w:p>
    <w:p w14:paraId="2F8BE1DD" w14:textId="77777777" w:rsidR="0048524B" w:rsidRDefault="0048524B">
      <w:pPr>
        <w:rPr>
          <w:i/>
        </w:rPr>
      </w:pPr>
      <w:r w:rsidRPr="002E1C1E">
        <w:rPr>
          <w:i/>
          <w:noProof/>
        </w:rPr>
        <w:t>Me, Myself and I: Juveniles in isolation</w:t>
      </w:r>
    </w:p>
    <w:p w14:paraId="246496EE" w14:textId="77777777" w:rsidR="0048524B" w:rsidRDefault="0048524B">
      <w:r>
        <w:rPr>
          <w:noProof/>
        </w:rPr>
        <w:t>The practice of solitary confinement has long been documented as a tool for reform, modification and risk. However, its use brings about serious health effects. Past research has highlighted cases of abuse among adult prisoners but a lack in the literature remains when it comes to vulnerable populations like juveniles. Documentary analysis of sources will be performed to explore the use and effects of solitary confinement upon juveniles. Sources include Royal Commission reports, journal articles and books. The author proposes other rehabilitative measures argues against the practice of solitary confinement on juveniles, and calls for more research in this area.</w:t>
      </w:r>
    </w:p>
    <w:p w14:paraId="41FEF26A" w14:textId="77777777" w:rsidR="0048524B" w:rsidRDefault="0048524B"/>
    <w:p w14:paraId="6CA6B10F" w14:textId="77777777" w:rsidR="0048524B" w:rsidRDefault="0048524B">
      <w:r w:rsidRPr="002E1C1E">
        <w:rPr>
          <w:b/>
          <w:noProof/>
        </w:rPr>
        <w:t>Kristin</w:t>
      </w:r>
      <w:r w:rsidRPr="008357DE">
        <w:rPr>
          <w:b/>
        </w:rPr>
        <w:t xml:space="preserve"> </w:t>
      </w:r>
      <w:r w:rsidRPr="002E1C1E">
        <w:rPr>
          <w:b/>
          <w:noProof/>
        </w:rPr>
        <w:t>Hattingh</w:t>
      </w:r>
      <w:r w:rsidRPr="008357DE">
        <w:rPr>
          <w:b/>
        </w:rPr>
        <w:t xml:space="preserve"> </w:t>
      </w:r>
      <w:r>
        <w:rPr>
          <w:b/>
        </w:rPr>
        <w:t xml:space="preserve"> </w:t>
      </w:r>
      <w:r w:rsidRPr="008357DE">
        <w:t>(</w:t>
      </w:r>
      <w:r>
        <w:rPr>
          <w:noProof/>
        </w:rPr>
        <w:t>Monash University Australia</w:t>
      </w:r>
      <w:r>
        <w:t>)</w:t>
      </w:r>
    </w:p>
    <w:p w14:paraId="51E38382" w14:textId="77777777" w:rsidR="0048524B" w:rsidRDefault="0048524B">
      <w:pPr>
        <w:rPr>
          <w:i/>
        </w:rPr>
      </w:pPr>
      <w:r w:rsidRPr="002E1C1E">
        <w:rPr>
          <w:i/>
          <w:noProof/>
        </w:rPr>
        <w:t>Effects of Advertisements on Psychostimulant Abuse</w:t>
      </w:r>
    </w:p>
    <w:p w14:paraId="20390432" w14:textId="77777777" w:rsidR="0048524B" w:rsidRDefault="0048524B">
      <w:r>
        <w:rPr>
          <w:noProof/>
        </w:rPr>
        <w:t xml:space="preserve">Intrigued by the growing trend of university students using psychostimulants in attempts to ’boost’ study efficiency, I reviewed how advertisements have contributed to its misuse. For example, Corpina Nootropics mentions drugs such as Concerta as ‘The Best Adderall Alternatives’ alongside words like ’success’. Recent studies by The Royal Women’s Hospital in Melbourne have determined that the ‘increasing rates of psychostimulant prescriptions’ suggest that ADHD medications are being ‘over-diagnosed, over-prescribed and over-used’. However, misuse is hard to gauge given the ‘greater legitimate use by a proportion’ of the population as well as the increased awareness of mental health. Students are using psychostimulants such as Ritalin and Concerta to increase the release of chemicals in the brain (e.g. dopamine) that stimulate the central nervous system, increasing cognitive ability. These drugs are known to have similar long-term effects as prolonged cocaine use, frontal lobe damage and depression. However, more than 600,000 prescriptions are given in Australia every year, with a lot of these prescriptions being resold to desperate students. By </w:t>
      </w:r>
      <w:r>
        <w:rPr>
          <w:noProof/>
        </w:rPr>
        <w:lastRenderedPageBreak/>
        <w:t>analysing reports, media advertisements and prescription boxes, I will demonstrate how the advertising of nootropics contribute to this problem. Profit margins and proud parents often outweigh severe side effects. Two fundamental issues have been discovered during this review. Firstly, the over-prescription of psychostimulants is being justified by cost–benefit analyses performed by doctors, which needs to be addressed by The Department of Health and Human Services. Secondly, the limited side effects and mentions of cognitive enhancements reflect flawed advertising controls.</w:t>
      </w:r>
    </w:p>
    <w:p w14:paraId="4662B034" w14:textId="77777777" w:rsidR="0048524B" w:rsidRDefault="0048524B"/>
    <w:p w14:paraId="46E90341" w14:textId="77777777" w:rsidR="00747825" w:rsidRDefault="00747825">
      <w:pPr>
        <w:rPr>
          <w:b/>
          <w:noProof/>
        </w:rPr>
      </w:pPr>
      <w:r>
        <w:rPr>
          <w:b/>
          <w:noProof/>
        </w:rPr>
        <w:br w:type="page"/>
      </w:r>
    </w:p>
    <w:p w14:paraId="0F6B670A" w14:textId="441AD40D" w:rsidR="00747825" w:rsidRDefault="00747825" w:rsidP="00747825">
      <w:pPr>
        <w:pStyle w:val="Heading1"/>
      </w:pPr>
      <w:r>
        <w:lastRenderedPageBreak/>
        <w:t xml:space="preserve">Panel 2B: </w:t>
      </w:r>
      <w:r w:rsidRPr="00747825">
        <w:t>Relationships and Community</w:t>
      </w:r>
    </w:p>
    <w:p w14:paraId="5445C6E5" w14:textId="77777777" w:rsidR="00747825" w:rsidRPr="00747825" w:rsidRDefault="00747825" w:rsidP="00747825"/>
    <w:p w14:paraId="530EA404" w14:textId="012CA312" w:rsidR="0048524B" w:rsidRDefault="0048524B">
      <w:r w:rsidRPr="002E1C1E">
        <w:rPr>
          <w:b/>
          <w:noProof/>
        </w:rPr>
        <w:t>Michel</w:t>
      </w:r>
      <w:r w:rsidRPr="008357DE">
        <w:rPr>
          <w:b/>
        </w:rPr>
        <w:t xml:space="preserve"> </w:t>
      </w:r>
      <w:r w:rsidRPr="002E1C1E">
        <w:rPr>
          <w:b/>
          <w:noProof/>
        </w:rPr>
        <w:t>Chan</w:t>
      </w:r>
      <w:r w:rsidRPr="008357DE">
        <w:rPr>
          <w:b/>
        </w:rPr>
        <w:t xml:space="preserve"> </w:t>
      </w:r>
      <w:r>
        <w:rPr>
          <w:b/>
        </w:rPr>
        <w:t xml:space="preserve"> </w:t>
      </w:r>
      <w:r w:rsidRPr="008357DE">
        <w:t>(</w:t>
      </w:r>
      <w:r>
        <w:rPr>
          <w:noProof/>
        </w:rPr>
        <w:t>Monash University Australia</w:t>
      </w:r>
      <w:r w:rsidR="00747825">
        <w:t>)</w:t>
      </w:r>
    </w:p>
    <w:p w14:paraId="73B70138" w14:textId="77777777" w:rsidR="0048524B" w:rsidRDefault="0048524B">
      <w:pPr>
        <w:rPr>
          <w:i/>
        </w:rPr>
      </w:pPr>
      <w:r w:rsidRPr="002E1C1E">
        <w:rPr>
          <w:i/>
          <w:noProof/>
        </w:rPr>
        <w:t>Friends of Common Topics</w:t>
      </w:r>
    </w:p>
    <w:p w14:paraId="4EB6C465" w14:textId="77777777" w:rsidR="0048524B" w:rsidRDefault="0048524B" w:rsidP="00AC7DBF">
      <w:pPr>
        <w:rPr>
          <w:noProof/>
        </w:rPr>
      </w:pPr>
      <w:r>
        <w:rPr>
          <w:noProof/>
        </w:rPr>
        <w:t>Monash University is rapidly shifting into teamwork and integrated disciplines. Over the past few years, that has been reflected from an increase in group assignments, course social events and compulsory comprehensive assessment of team member effectiveness evaluations (CATME), especially for first-year students. As a result, a notable pattern can be seen that social circles tend to form between students undertaking the same degree and those that share similar units. But for first years, in an unfamiliar environment, research and studies have shown that the majority of the formation of friendship ignites with the hope of overcoming loneliness and homesickness and for academic purposes. Yet, it is also obvious that some groups quickly lose contact while some continuously meet up and spend their university degree together.</w:t>
      </w:r>
    </w:p>
    <w:p w14:paraId="549924B1" w14:textId="77777777" w:rsidR="0048524B" w:rsidRDefault="0048524B">
      <w:r>
        <w:rPr>
          <w:noProof/>
        </w:rPr>
        <w:t>My research will emphasise the idea that the starting of a friendship for first-year Monash University students is mutually based on common interests that two parties share with a common goal to achieve, related topics that ignite passion, communication and understanding rather than the famous assumption that ‘first impressions last’ or due to similar personalities. The findings of the research show that the majority of the people join a group with a kickstart of having a common topic to engage in and talk about.</w:t>
      </w:r>
    </w:p>
    <w:p w14:paraId="12217784" w14:textId="77777777" w:rsidR="0048524B" w:rsidRDefault="0048524B"/>
    <w:p w14:paraId="28F2B4EF" w14:textId="6594420A" w:rsidR="0048524B" w:rsidRDefault="0048524B">
      <w:r w:rsidRPr="002E1C1E">
        <w:rPr>
          <w:b/>
          <w:noProof/>
        </w:rPr>
        <w:t>Devika</w:t>
      </w:r>
      <w:r w:rsidRPr="008357DE">
        <w:rPr>
          <w:b/>
        </w:rPr>
        <w:t xml:space="preserve"> </w:t>
      </w:r>
      <w:r w:rsidRPr="002E1C1E">
        <w:rPr>
          <w:b/>
          <w:noProof/>
        </w:rPr>
        <w:t>Pandit,</w:t>
      </w:r>
      <w:r w:rsidRPr="008357DE">
        <w:rPr>
          <w:b/>
        </w:rPr>
        <w:t xml:space="preserve"> </w:t>
      </w:r>
      <w:r w:rsidRPr="002E1C1E">
        <w:rPr>
          <w:b/>
          <w:noProof/>
        </w:rPr>
        <w:t>Vasiliki Franco-Klothos and Yin Chi Hau</w:t>
      </w:r>
      <w:r>
        <w:rPr>
          <w:b/>
        </w:rPr>
        <w:t xml:space="preserve"> </w:t>
      </w:r>
      <w:r w:rsidRPr="008357DE">
        <w:t>(</w:t>
      </w:r>
      <w:r>
        <w:rPr>
          <w:noProof/>
        </w:rPr>
        <w:t>Monash University Australia</w:t>
      </w:r>
      <w:r w:rsidR="00747825">
        <w:t>)</w:t>
      </w:r>
    </w:p>
    <w:p w14:paraId="0213EE39" w14:textId="77777777" w:rsidR="0048524B" w:rsidRDefault="0048524B">
      <w:pPr>
        <w:rPr>
          <w:i/>
        </w:rPr>
      </w:pPr>
      <w:r w:rsidRPr="002E1C1E">
        <w:rPr>
          <w:i/>
          <w:noProof/>
        </w:rPr>
        <w:t>Lack of Adequate Knowledge of Female Sexual Anatomy and Disparity in Orgasm Rates</w:t>
      </w:r>
    </w:p>
    <w:p w14:paraId="51A6B96D" w14:textId="77777777" w:rsidR="0048524B" w:rsidRDefault="0048524B">
      <w:r>
        <w:rPr>
          <w:noProof/>
        </w:rPr>
        <w:t>Historical conceptualisations of female sexual pleasure have primarily focused on the role of sex as a reproductive necessity. Subsequently, the significance of the clitoris has been relatively disregarded. A contemporary resurgence of a popular interest in feminism, accompanied by the rise of the #MeToo movement, and discoveries regarding the actual structure of the clitoris all indicate a period of cultural and medical advancements that situate sex and sexual pleasure in a positive light. Despite the apparent objectivity of the medical field, a disparity in exploration of the clitoris in comparison to the penis and vagina highlights that it is not immune to the influence of sex stereotyping, which reduces female sexuality to an essentially reproductive tool. Our interdisciplinary and timely study challenges deep-rooted medical and cultural biases against women’s expression of sexual interest, based on the premise that sex has been intrinsically phallocentric. Combining medical and sociological traditions, we utilise mixed-methods data collection and analysis tools (survey questionnaires and qualitative short-response questions). The data obtained will highlight inadequate knowledge of, and misconceptions regarding, the clitoris in sexual health discourse and practice, resulting in disparate orgasm rates according to gender and sexuality. The findings will aid our research in advocating for holistic conceptualisations of sex to encourage women to reclaim their sexual autonomy. A refined understanding of the clitoris will establish a foundation for further related studies. It will additionally help design comprehensive sex-education programmes in schools, initiating healthy conversations to influence policy change.</w:t>
      </w:r>
    </w:p>
    <w:p w14:paraId="042477B3" w14:textId="77777777" w:rsidR="0048524B" w:rsidRDefault="0048524B"/>
    <w:p w14:paraId="36DEAC1C" w14:textId="77777777" w:rsidR="00747825" w:rsidRDefault="00747825">
      <w:pPr>
        <w:rPr>
          <w:b/>
          <w:noProof/>
        </w:rPr>
      </w:pPr>
    </w:p>
    <w:p w14:paraId="0610C421" w14:textId="2878A1AA" w:rsidR="0048524B" w:rsidRDefault="0048524B">
      <w:r w:rsidRPr="002E1C1E">
        <w:rPr>
          <w:b/>
          <w:noProof/>
        </w:rPr>
        <w:lastRenderedPageBreak/>
        <w:t>Cassandra Seah Ei Lyn</w:t>
      </w:r>
      <w:r w:rsidRPr="008357DE">
        <w:rPr>
          <w:b/>
        </w:rPr>
        <w:t xml:space="preserve">  </w:t>
      </w:r>
      <w:r>
        <w:rPr>
          <w:b/>
        </w:rPr>
        <w:t xml:space="preserve"> </w:t>
      </w:r>
      <w:r w:rsidRPr="008357DE">
        <w:t>(</w:t>
      </w:r>
      <w:r>
        <w:rPr>
          <w:noProof/>
        </w:rPr>
        <w:t>NTU</w:t>
      </w:r>
      <w:r w:rsidR="00747825">
        <w:t>)</w:t>
      </w:r>
    </w:p>
    <w:p w14:paraId="4C40DF02" w14:textId="77777777" w:rsidR="0048524B" w:rsidRDefault="0048524B">
      <w:pPr>
        <w:rPr>
          <w:i/>
        </w:rPr>
      </w:pPr>
      <w:r w:rsidRPr="002E1C1E">
        <w:rPr>
          <w:i/>
          <w:noProof/>
        </w:rPr>
        <w:t>Connects – An intergenerational engagement space</w:t>
      </w:r>
    </w:p>
    <w:p w14:paraId="6FB83254" w14:textId="77777777" w:rsidR="0048524B" w:rsidRDefault="0048524B">
      <w:r>
        <w:rPr>
          <w:noProof/>
        </w:rPr>
        <w:t>As our population ages and family structures change, solo elderly households will become more prevalent. Loneliness can affect the wellbeing of older adults. This project aims to develop an intergenerational engagement space to reduce the effects of loneliness and lack of social interaction among the elderly. It creates a lively environment that incorporates multi-sensory stimulation, a factor of nostalgia and elements of familiarity as a mean to encourage social interaction. The project also aims to foster intergenerational interaction, bringing benefits to both young and old users while at the same time provide opportunities to utilise their creative skills. Designs and concepts were generated by gathering insights from elderly residents and children living around the engagement space. Professors and designers from Nanyang Technological University, St Joseph’s Home and Boon Lay Community Centre were consulted to improve on the product design. A prototype was developed and a short user-feedback session was done at St Joseph’s Home and at Boon Lay. Staff and occupational therapists appreciated Connects for its ability to help the elderly stretch and stimulate their cognitive, sensory and motor skills. It also helps spark conversations between the young and old. There is potential for Connects to be further developed and implemented at other sites to address loneliness, decreasing circle of friends and lack of social interaction among the elderly.</w:t>
      </w:r>
    </w:p>
    <w:p w14:paraId="086FC238" w14:textId="77777777" w:rsidR="0048524B" w:rsidRDefault="0048524B"/>
    <w:p w14:paraId="427AA201" w14:textId="35749262" w:rsidR="0048524B" w:rsidRDefault="0048524B">
      <w:r w:rsidRPr="002E1C1E">
        <w:rPr>
          <w:b/>
          <w:noProof/>
        </w:rPr>
        <w:t>Foung Kai Li</w:t>
      </w:r>
      <w:r w:rsidRPr="008357DE">
        <w:rPr>
          <w:b/>
        </w:rPr>
        <w:t xml:space="preserve">  </w:t>
      </w:r>
      <w:r>
        <w:rPr>
          <w:b/>
        </w:rPr>
        <w:t xml:space="preserve"> </w:t>
      </w:r>
      <w:r w:rsidRPr="008357DE">
        <w:t>(</w:t>
      </w:r>
      <w:r>
        <w:rPr>
          <w:noProof/>
        </w:rPr>
        <w:t>NTU</w:t>
      </w:r>
      <w:r w:rsidR="00747825">
        <w:t>)</w:t>
      </w:r>
    </w:p>
    <w:p w14:paraId="75A5DB06" w14:textId="77777777" w:rsidR="0048524B" w:rsidRDefault="0048524B">
      <w:pPr>
        <w:rPr>
          <w:i/>
        </w:rPr>
      </w:pPr>
      <w:r w:rsidRPr="002E1C1E">
        <w:rPr>
          <w:i/>
          <w:noProof/>
        </w:rPr>
        <w:t>Relationship Quality and Perceived Similarity: A look at value orientations and intergenerational relationship in Singaporean families</w:t>
      </w:r>
    </w:p>
    <w:p w14:paraId="76D06D23" w14:textId="77777777" w:rsidR="0048524B" w:rsidRDefault="0048524B">
      <w:r>
        <w:rPr>
          <w:noProof/>
        </w:rPr>
        <w:t>This study examines the relationship between intergenerational familial relationship quality and the perceived similarity between value orientations of family members of different generations. It is hypothesised that a) better intergenerational relationship quality would be related to greater perceived similarity in value orientation of the respondents and their family and b) better intergenerational relationship quality would be related to perceived similar value orientations between the youth and older generation. Singaporean undergraduate participants (n=113) were surveyed about their thoughts and feelings towards social groups. Results showed a correlation between the perceived similarity of values and relationship quality for youths in relation to their family. Thus, greater similarity between value orientations of the self and family was positively related to intergenerational familial relationship quality. However, there was no relationship between the perceived similarity in value orientation between youth and old generation and intergenerational familial relationship quality. Implications of the findings are also discussed.</w:t>
      </w:r>
    </w:p>
    <w:p w14:paraId="34F7D093" w14:textId="77777777" w:rsidR="0048524B" w:rsidRDefault="0048524B"/>
    <w:p w14:paraId="43B41570" w14:textId="77777777" w:rsidR="00747825" w:rsidRDefault="00747825">
      <w:pPr>
        <w:rPr>
          <w:b/>
          <w:noProof/>
        </w:rPr>
      </w:pPr>
      <w:r>
        <w:rPr>
          <w:b/>
          <w:noProof/>
        </w:rPr>
        <w:br w:type="page"/>
      </w:r>
    </w:p>
    <w:p w14:paraId="1F35C1FB" w14:textId="255EEC65" w:rsidR="00747825" w:rsidRDefault="00747825" w:rsidP="00DA0D5B">
      <w:pPr>
        <w:pStyle w:val="Heading1"/>
        <w:rPr>
          <w:noProof/>
        </w:rPr>
      </w:pPr>
      <w:r>
        <w:rPr>
          <w:noProof/>
        </w:rPr>
        <w:lastRenderedPageBreak/>
        <w:t xml:space="preserve">Panel 2C: </w:t>
      </w:r>
      <w:r w:rsidR="00DA0D5B" w:rsidRPr="00DA0D5B">
        <w:rPr>
          <w:noProof/>
        </w:rPr>
        <w:t>Approaches to Patient Care</w:t>
      </w:r>
    </w:p>
    <w:p w14:paraId="459FA4E6" w14:textId="77777777" w:rsidR="00DA0D5B" w:rsidRPr="00DA0D5B" w:rsidRDefault="00DA0D5B" w:rsidP="00DA0D5B"/>
    <w:p w14:paraId="220970CB" w14:textId="64E0784D" w:rsidR="0048524B" w:rsidRDefault="0048524B">
      <w:r w:rsidRPr="002E1C1E">
        <w:rPr>
          <w:b/>
          <w:noProof/>
        </w:rPr>
        <w:t>Patrick</w:t>
      </w:r>
      <w:r w:rsidRPr="008357DE">
        <w:rPr>
          <w:b/>
        </w:rPr>
        <w:t xml:space="preserve"> </w:t>
      </w:r>
      <w:r w:rsidRPr="002E1C1E">
        <w:rPr>
          <w:b/>
          <w:noProof/>
        </w:rPr>
        <w:t>Haylock</w:t>
      </w:r>
      <w:r w:rsidRPr="008357DE">
        <w:rPr>
          <w:b/>
        </w:rPr>
        <w:t xml:space="preserve"> </w:t>
      </w:r>
      <w:r>
        <w:rPr>
          <w:b/>
        </w:rPr>
        <w:t xml:space="preserve"> </w:t>
      </w:r>
      <w:r w:rsidRPr="008357DE">
        <w:t>(</w:t>
      </w:r>
      <w:r>
        <w:rPr>
          <w:noProof/>
        </w:rPr>
        <w:t>Monash University Australia</w:t>
      </w:r>
      <w:r w:rsidR="00DA0D5B">
        <w:t>)</w:t>
      </w:r>
    </w:p>
    <w:p w14:paraId="5F38E9F8" w14:textId="77777777" w:rsidR="0048524B" w:rsidRDefault="0048524B">
      <w:pPr>
        <w:rPr>
          <w:i/>
        </w:rPr>
      </w:pPr>
      <w:r w:rsidRPr="002E1C1E">
        <w:rPr>
          <w:i/>
          <w:noProof/>
        </w:rPr>
        <w:t>Rural Individuals’ Perceptions and Experiences of Online Alcohol and Other Drug Counselling</w:t>
      </w:r>
    </w:p>
    <w:p w14:paraId="2574C136" w14:textId="77777777" w:rsidR="0048524B" w:rsidRDefault="0048524B" w:rsidP="00AC7DBF">
      <w:pPr>
        <w:rPr>
          <w:noProof/>
        </w:rPr>
      </w:pPr>
      <w:r>
        <w:rPr>
          <w:noProof/>
        </w:rPr>
        <w:t>Alcohol and other drug (AOD) use is more common, and associated with greater harm, in rural communities compared to urban communities. Despite this, rural individuals experience significant barriers to accessing quality treatment options. These barriers include large geographical distances and limited AOD treatment availability.</w:t>
      </w:r>
    </w:p>
    <w:p w14:paraId="0B250099" w14:textId="77777777" w:rsidR="0048524B" w:rsidRDefault="0048524B" w:rsidP="00AC7DBF">
      <w:pPr>
        <w:rPr>
          <w:noProof/>
        </w:rPr>
      </w:pPr>
      <w:r>
        <w:rPr>
          <w:noProof/>
        </w:rPr>
        <w:t>Online AOD services, which are accessible from the home or a mobile device, may address some of these service access barriers. Such services include Counselling Online, a free 24/7 online AOD counselling service which provides a real-time web-chat between a counsellor and client. However, no study has examined Australian rural individuals’ experiences of online AOD counselling. Rural communities have unique features that may influence their experience of online counselling. These features include a focus on self-reliance, a distrust of outsiders from ‘the city’, and a low preference for online health services compared to urban communities.</w:t>
      </w:r>
    </w:p>
    <w:p w14:paraId="2594A81A" w14:textId="77777777" w:rsidR="0048524B" w:rsidRDefault="0048524B" w:rsidP="00AC7DBF">
      <w:pPr>
        <w:rPr>
          <w:noProof/>
        </w:rPr>
      </w:pPr>
      <w:r>
        <w:rPr>
          <w:noProof/>
        </w:rPr>
        <w:t>This study has two aims: Firstly, to describe the demographic details of Counselling Online clients, and any demographic differences between rural and urban clients, using statistical techniques. Secondly, to understand the perceptions and experience of rural clients of Counselling Online. This second aim will be achieved by using thematic analysis to identify and understand themes that occur in the transcripts of rural client counselling sessions. In this presentation, I will present preliminary findings.</w:t>
      </w:r>
    </w:p>
    <w:p w14:paraId="5301C1F7" w14:textId="77777777" w:rsidR="0048524B" w:rsidRDefault="0048524B">
      <w:r>
        <w:rPr>
          <w:noProof/>
        </w:rPr>
        <w:t>The results of this study will help online counselling services understand and adapt to the geographical contexts of their clients, and also allow for better informed policy decisions in the rapidly growing online counselling space.</w:t>
      </w:r>
    </w:p>
    <w:p w14:paraId="057AF661" w14:textId="77777777" w:rsidR="0048524B" w:rsidRDefault="0048524B"/>
    <w:p w14:paraId="594A8BF4" w14:textId="075C430E" w:rsidR="0048524B" w:rsidRDefault="0048524B">
      <w:r w:rsidRPr="002E1C1E">
        <w:rPr>
          <w:b/>
          <w:noProof/>
        </w:rPr>
        <w:t>Ashling</w:t>
      </w:r>
      <w:r w:rsidRPr="008357DE">
        <w:rPr>
          <w:b/>
        </w:rPr>
        <w:t xml:space="preserve"> </w:t>
      </w:r>
      <w:r w:rsidRPr="002E1C1E">
        <w:rPr>
          <w:b/>
          <w:noProof/>
        </w:rPr>
        <w:t>Morone</w:t>
      </w:r>
      <w:r w:rsidRPr="008357DE">
        <w:rPr>
          <w:b/>
        </w:rPr>
        <w:t xml:space="preserve"> </w:t>
      </w:r>
      <w:r w:rsidRPr="002E1C1E">
        <w:rPr>
          <w:b/>
          <w:noProof/>
        </w:rPr>
        <w:t>and Lucy Washington</w:t>
      </w:r>
      <w:r>
        <w:rPr>
          <w:b/>
        </w:rPr>
        <w:t xml:space="preserve"> </w:t>
      </w:r>
      <w:r w:rsidRPr="008357DE">
        <w:t>(</w:t>
      </w:r>
      <w:r>
        <w:rPr>
          <w:noProof/>
        </w:rPr>
        <w:t>Monash University Australia</w:t>
      </w:r>
      <w:r w:rsidR="00DA0D5B">
        <w:t>)</w:t>
      </w:r>
    </w:p>
    <w:p w14:paraId="1BE7E9A2" w14:textId="77777777" w:rsidR="0048524B" w:rsidRDefault="0048524B">
      <w:pPr>
        <w:rPr>
          <w:i/>
        </w:rPr>
      </w:pPr>
      <w:r w:rsidRPr="002E1C1E">
        <w:rPr>
          <w:i/>
          <w:noProof/>
        </w:rPr>
        <w:t>The Confinement Period for Malay Mothers: Postpartum practices and adapting traditions</w:t>
      </w:r>
    </w:p>
    <w:p w14:paraId="2AFAA519" w14:textId="77777777" w:rsidR="0048524B" w:rsidRDefault="0048524B">
      <w:r>
        <w:rPr>
          <w:noProof/>
        </w:rPr>
        <w:t>In Malay culture, as in many Southeast Asian cultures, new mothers typically participate in confinement, a postpartum practice that encompasses a number of other practices, including dietary modification, heat therapy and restricted activity. In our research, we sought to explore the practice of confinement in the postpartum period among Malay women. To do this, we conducted interviews and focus groups with a number of Malay mothers, grandmothers and mak bidans (women that provide traditional postpartum care), drawing on an ethnographic approach. From a thematic analysis of our data, we found themes of bodily and consumption practices, and ways in which traditional confinement is being adapted in modernity. The role of tradition during the confinement period is still highly important to many Malay mothers today. However, we found evidence that mothers are adjusting traditional practices to better suit their lifestyles in a modernising culture. There is space for further research into whether the negotiation between tradition and modernity is being played out in a similar manner across the wider Malay population, or if there are localised differences.</w:t>
      </w:r>
    </w:p>
    <w:p w14:paraId="6C9C813A" w14:textId="77777777" w:rsidR="0048524B" w:rsidRDefault="0048524B"/>
    <w:p w14:paraId="4B168368" w14:textId="05C5E510" w:rsidR="0048524B" w:rsidRDefault="0048524B">
      <w:r w:rsidRPr="002E1C1E">
        <w:rPr>
          <w:b/>
          <w:noProof/>
        </w:rPr>
        <w:lastRenderedPageBreak/>
        <w:t>Oscar Er Yang</w:t>
      </w:r>
      <w:r w:rsidRPr="008357DE">
        <w:rPr>
          <w:b/>
        </w:rPr>
        <w:t xml:space="preserve"> </w:t>
      </w:r>
      <w:r w:rsidRPr="002E1C1E">
        <w:rPr>
          <w:b/>
          <w:noProof/>
        </w:rPr>
        <w:t>Chow</w:t>
      </w:r>
      <w:r w:rsidRPr="008357DE">
        <w:rPr>
          <w:b/>
        </w:rPr>
        <w:t xml:space="preserve"> </w:t>
      </w:r>
      <w:r>
        <w:rPr>
          <w:b/>
        </w:rPr>
        <w:t xml:space="preserve"> </w:t>
      </w:r>
      <w:r w:rsidRPr="008357DE">
        <w:t>(</w:t>
      </w:r>
      <w:r>
        <w:rPr>
          <w:noProof/>
        </w:rPr>
        <w:t>Monash University Malaysia</w:t>
      </w:r>
      <w:r w:rsidR="00DA0D5B">
        <w:t>)</w:t>
      </w:r>
    </w:p>
    <w:p w14:paraId="39BC1801" w14:textId="77777777" w:rsidR="0048524B" w:rsidRDefault="0048524B">
      <w:pPr>
        <w:rPr>
          <w:i/>
        </w:rPr>
      </w:pPr>
      <w:r w:rsidRPr="002E1C1E">
        <w:rPr>
          <w:i/>
          <w:noProof/>
        </w:rPr>
        <w:t>Caretaker/Parental Factors and Symptom Control Status of Atopic Dermatitis in School Children – A cross-sectional study in a centre in Johor Bahru</w:t>
      </w:r>
    </w:p>
    <w:p w14:paraId="7FF1B56D" w14:textId="77777777" w:rsidR="0048524B" w:rsidRDefault="0048524B">
      <w:r>
        <w:rPr>
          <w:noProof/>
        </w:rPr>
        <w:t>Atopic dermisatitis (AD) is the most common inflammatory skin disorder affecting children. This is a major issue as it is associated with poor health-related quality of life (HRQoL). Many children still present with poor control of AD despite adequate treatment provided. Parents/caretakers are important roles in successful control of the disease. Previous studies revealed that parents/caretakers with higher education level are more likely to have corticosteroid phobia, leading to poorer control of AD among children. However, other caretaker/parental factors are not well addressed in Malaysia. AD symptom control status depends on the knowledge, attitude and practice (KAP) of parents/caretakers towards AD. Racial and cultural differences may have an impact. We aim to study the correlation between caretaker/parental factors and symptom control of AD among schoolchildren. Secondary objectives include exploring the racial and cultural difference in terms of AD symptoms control; parental satisfaction with education provided by the clinicians. This is a cross-sectional study to be conducted at the dermatology clinic, Hospital Sultanah Aminah, Malaysia. Convenient sampling of 100 parents/caretakers of schoolchildren with AD recruited to complete a questionnaire, consisting of 1) parental socio-demographic characteristics, 2) children’s demographic and symptom control profile of AD, 3) KAP of parents on AD and 4) parents’ satisfaction with education provided by clinicians. Acknowledging the KAP of caretakers/parents will allow the clinicians to identify the barriers encountered by the caretakers/parents in managing AD. Standard therapeutic educational programme for parents/caretakers can be implemented for successful control of disease.</w:t>
      </w:r>
    </w:p>
    <w:p w14:paraId="76CA1958" w14:textId="77777777" w:rsidR="0048524B" w:rsidRDefault="0048524B"/>
    <w:p w14:paraId="423B43D3" w14:textId="2B6842CC" w:rsidR="0048524B" w:rsidRDefault="0048524B">
      <w:r w:rsidRPr="002E1C1E">
        <w:rPr>
          <w:b/>
          <w:noProof/>
        </w:rPr>
        <w:t>Ee Chin</w:t>
      </w:r>
      <w:r w:rsidRPr="008357DE">
        <w:rPr>
          <w:b/>
        </w:rPr>
        <w:t xml:space="preserve"> </w:t>
      </w:r>
      <w:r w:rsidRPr="002E1C1E">
        <w:rPr>
          <w:b/>
          <w:noProof/>
        </w:rPr>
        <w:t>Lim</w:t>
      </w:r>
      <w:r w:rsidRPr="008357DE">
        <w:rPr>
          <w:b/>
        </w:rPr>
        <w:t xml:space="preserve"> </w:t>
      </w:r>
      <w:r>
        <w:rPr>
          <w:b/>
        </w:rPr>
        <w:t xml:space="preserve"> </w:t>
      </w:r>
      <w:r w:rsidRPr="008357DE">
        <w:t>(</w:t>
      </w:r>
      <w:r>
        <w:rPr>
          <w:noProof/>
        </w:rPr>
        <w:t>Monash University Malaysia</w:t>
      </w:r>
      <w:r w:rsidR="00DA0D5B">
        <w:t>)</w:t>
      </w:r>
    </w:p>
    <w:p w14:paraId="76A5BD0E" w14:textId="77777777" w:rsidR="0048524B" w:rsidRDefault="0048524B">
      <w:pPr>
        <w:rPr>
          <w:i/>
        </w:rPr>
      </w:pPr>
      <w:r w:rsidRPr="002E1C1E">
        <w:rPr>
          <w:i/>
          <w:noProof/>
        </w:rPr>
        <w:t>Burden of Psoriasis on Quality of life and Treatment Satisfaction Among Patients: A cross-sectional study in Malaysia</w:t>
      </w:r>
    </w:p>
    <w:p w14:paraId="4F52C642" w14:textId="77777777" w:rsidR="0048524B" w:rsidRDefault="0048524B" w:rsidP="00AC7DBF">
      <w:pPr>
        <w:rPr>
          <w:noProof/>
        </w:rPr>
      </w:pPr>
      <w:r>
        <w:rPr>
          <w:noProof/>
        </w:rPr>
        <w:t>Psoriasis is a chronic immune-mediated inflammatory disease that predominantly affects the skin and joints with characteristic well-defined, red scaly lesions. Studies showed that psoriasis causes as much physical and mental distress as other chronic diseases. However, there is a lack of data on the physical and emotional burden from patient perspectives. Our objectives are to determine: (i) the physical and emotional burden of psoriasis in our patients and its impact on our patients’ quality of life, and (ii) patients’ satisfaction with treatment received.</w:t>
      </w:r>
    </w:p>
    <w:p w14:paraId="358CBBB4" w14:textId="77777777" w:rsidR="0048524B" w:rsidRDefault="0048524B" w:rsidP="00AC7DBF">
      <w:pPr>
        <w:rPr>
          <w:noProof/>
        </w:rPr>
      </w:pPr>
      <w:r>
        <w:rPr>
          <w:noProof/>
        </w:rPr>
        <w:t>The first 100 consenting psoriasis patients were interviewed using questionnaires. The questionnaire includes questions exploring physical symptoms, triggers, comorbidities, Dermatology Quality of Life Index (DLQI) and treatment satisfaction. Patients (n=100) were comprised of Chinese (49%), Malay (28%) and Indian (23%). Male to female ratio was 1.78:1. The top three symptoms reported were itching (78%), scaling (77%) and skin redness (76%). The most bothersome symptom was itchiness (41%). Psoriatic arthritis was reported in 39% of patients. The mean DLQI score for psoriasis symptoms at their worst and current was 12.84 and 6.92 respectively. Majority of patients (84%) were satisfied by the treatment received.</w:t>
      </w:r>
    </w:p>
    <w:p w14:paraId="7309A72E" w14:textId="77777777" w:rsidR="0048524B" w:rsidRDefault="0048524B">
      <w:r>
        <w:rPr>
          <w:noProof/>
        </w:rPr>
        <w:t xml:space="preserve">Itchiness is the most common and bothersome symptom reported. Clinicians should address the issue and provide symptomatic relief. There was a significant reduction in the mean DLQI score for current symptoms compared to their worst, showing treatment efficacy. Majority of patients were </w:t>
      </w:r>
      <w:r>
        <w:rPr>
          <w:noProof/>
        </w:rPr>
        <w:lastRenderedPageBreak/>
        <w:t>satisfied with the treatment received. Physicians may need to address the patients’ concerns regarding the perceived ineffective therapy.</w:t>
      </w:r>
    </w:p>
    <w:p w14:paraId="545F71CB" w14:textId="77777777" w:rsidR="0048524B" w:rsidRDefault="0048524B"/>
    <w:p w14:paraId="34CE4B36" w14:textId="77777777" w:rsidR="00DA0D5B" w:rsidRDefault="00DA0D5B">
      <w:pPr>
        <w:rPr>
          <w:b/>
          <w:noProof/>
        </w:rPr>
      </w:pPr>
      <w:r>
        <w:rPr>
          <w:b/>
          <w:noProof/>
        </w:rPr>
        <w:br w:type="page"/>
      </w:r>
    </w:p>
    <w:p w14:paraId="468FC1E6" w14:textId="27E5392F" w:rsidR="00DA0D5B" w:rsidRPr="00DA0D5B" w:rsidRDefault="00DA0D5B" w:rsidP="00DA0D5B">
      <w:pPr>
        <w:pStyle w:val="Heading1"/>
        <w:rPr>
          <w:rFonts w:eastAsia="Times New Roman"/>
          <w:lang w:eastAsia="en-GB"/>
        </w:rPr>
      </w:pPr>
      <w:r w:rsidRPr="00DA0D5B">
        <w:rPr>
          <w:noProof/>
        </w:rPr>
        <w:lastRenderedPageBreak/>
        <w:t xml:space="preserve">Panel 2D: </w:t>
      </w:r>
      <w:r w:rsidRPr="00DA0D5B">
        <w:rPr>
          <w:rFonts w:eastAsia="Times New Roman"/>
          <w:lang w:eastAsia="en-GB"/>
        </w:rPr>
        <w:t>The Internet</w:t>
      </w:r>
    </w:p>
    <w:p w14:paraId="1FCF9139" w14:textId="77777777" w:rsidR="00DA0D5B" w:rsidRPr="00DA0D5B" w:rsidRDefault="00DA0D5B" w:rsidP="00DA0D5B">
      <w:pPr>
        <w:rPr>
          <w:lang w:eastAsia="en-GB"/>
        </w:rPr>
      </w:pPr>
    </w:p>
    <w:p w14:paraId="6C9D49BE" w14:textId="04242C4A" w:rsidR="0048524B" w:rsidRDefault="0048524B">
      <w:r w:rsidRPr="002E1C1E">
        <w:rPr>
          <w:b/>
          <w:noProof/>
        </w:rPr>
        <w:t>Anthony</w:t>
      </w:r>
      <w:r w:rsidRPr="008357DE">
        <w:rPr>
          <w:b/>
        </w:rPr>
        <w:t xml:space="preserve"> </w:t>
      </w:r>
      <w:r w:rsidRPr="002E1C1E">
        <w:rPr>
          <w:b/>
          <w:noProof/>
        </w:rPr>
        <w:t>Silvestre</w:t>
      </w:r>
      <w:r w:rsidRPr="008357DE">
        <w:rPr>
          <w:b/>
        </w:rPr>
        <w:t xml:space="preserve"> </w:t>
      </w:r>
      <w:r>
        <w:rPr>
          <w:b/>
        </w:rPr>
        <w:t xml:space="preserve"> </w:t>
      </w:r>
      <w:r w:rsidRPr="008357DE">
        <w:t>(</w:t>
      </w:r>
      <w:r>
        <w:rPr>
          <w:noProof/>
        </w:rPr>
        <w:t>Monash University Australia</w:t>
      </w:r>
      <w:r w:rsidR="00DA0D5B">
        <w:t>)</w:t>
      </w:r>
    </w:p>
    <w:p w14:paraId="6922E56C" w14:textId="77777777" w:rsidR="0048524B" w:rsidRDefault="0048524B">
      <w:pPr>
        <w:rPr>
          <w:i/>
        </w:rPr>
      </w:pPr>
      <w:r w:rsidRPr="002E1C1E">
        <w:rPr>
          <w:i/>
          <w:noProof/>
        </w:rPr>
        <w:t>Solving NP-Hard Problems Using Quantum Computing</w:t>
      </w:r>
    </w:p>
    <w:p w14:paraId="7AC8538C" w14:textId="77777777" w:rsidR="0048524B" w:rsidRDefault="0048524B">
      <w:r>
        <w:rPr>
          <w:noProof/>
        </w:rPr>
        <w:t>Quantum computation is an emergent technology whose operation and application have been the subject of increasing interest. Quantum computers operate at the quantum scale and provide a fast, energy efficient alternative to traditional computing methods. Quantum annealers, the only type of commercially available quantum processor, are suited to solving optimisation problems. This research will focus on the intersection of quantum annealing and optimisation to develop an interface between the constraint modelling language, MiniZinc and a DWAVE quantum annealer. The interface will allow optimisation problems modelled in a standard format using MiniZinc, to be executed on a quantum annealer. A selection of NP-hard problems will be evaluated using this interface, and compared to classical computing algorithms to solve these problems. Given the ubiquitous nature of NP-hard problems in industry and research, the successful outcome of the project has the potential to encourage the application of quantum computation to more efficiently solve a wide range of problems.</w:t>
      </w:r>
    </w:p>
    <w:p w14:paraId="723A109A" w14:textId="77777777" w:rsidR="0048524B" w:rsidRDefault="0048524B"/>
    <w:p w14:paraId="389BCFC5" w14:textId="411F65CE" w:rsidR="0048524B" w:rsidRDefault="0048524B">
      <w:r w:rsidRPr="002E1C1E">
        <w:rPr>
          <w:b/>
          <w:noProof/>
        </w:rPr>
        <w:t>Twisha</w:t>
      </w:r>
      <w:r w:rsidRPr="008357DE">
        <w:rPr>
          <w:b/>
        </w:rPr>
        <w:t xml:space="preserve"> </w:t>
      </w:r>
      <w:r w:rsidRPr="002E1C1E">
        <w:rPr>
          <w:b/>
          <w:noProof/>
        </w:rPr>
        <w:t>Banker</w:t>
      </w:r>
      <w:r w:rsidRPr="008357DE">
        <w:rPr>
          <w:b/>
        </w:rPr>
        <w:t xml:space="preserve"> </w:t>
      </w:r>
      <w:r>
        <w:rPr>
          <w:b/>
        </w:rPr>
        <w:t xml:space="preserve"> </w:t>
      </w:r>
      <w:r w:rsidRPr="008357DE">
        <w:t>(</w:t>
      </w:r>
      <w:r>
        <w:rPr>
          <w:noProof/>
        </w:rPr>
        <w:t>Monash University Australia</w:t>
      </w:r>
      <w:r w:rsidR="00DA0D5B">
        <w:t>)</w:t>
      </w:r>
    </w:p>
    <w:p w14:paraId="4C7E7ABA" w14:textId="77777777" w:rsidR="0048524B" w:rsidRDefault="0048524B">
      <w:pPr>
        <w:rPr>
          <w:i/>
        </w:rPr>
      </w:pPr>
      <w:r w:rsidRPr="002E1C1E">
        <w:rPr>
          <w:i/>
          <w:noProof/>
        </w:rPr>
        <w:t>Government Surveillance: To watch or to be watched?</w:t>
      </w:r>
    </w:p>
    <w:p w14:paraId="2B371A52" w14:textId="77777777" w:rsidR="0048524B" w:rsidRDefault="0048524B">
      <w:r>
        <w:rPr>
          <w:noProof/>
        </w:rPr>
        <w:t>A fundamental responsibility of federal law is to provide safety for its people, and to do this, federal intelligence agencies use weapons beyond warfare to monitor surveillance. Mass surveillance supervise internet, mobile and other networks to examine discrepancies that prevent criminal activity. However, it was found that some government agencies have the capacity to use these technologies against its own people, for example, the National Security Agency (NSA) that faced great public scrutiny when in 2013, top-secret documents containing foreign and local interactions were leaked by Edward Snowden. Alarmingly, while many civilians responded with disapproval, some remained under-provoked by the leak. Furthermore, it is noted that while there is moderate attentiveness towards privacy laws in the United States, the Australian public only have some knowledge on the vulnerability that the lack of privacy poses. Thus, this report will review the different methods of surveillance used by government organisations in Australia and the degree to which this invades the confidentiality of the public. To examine current understanding of privacy laws by the Australian public, focus group interviews will also be undertaken. From this discussion, readers will become more enlightened about virtual security and when federal surveillance becomes an invasion of privacy, hence leading to an open debate about current privacy laws.</w:t>
      </w:r>
    </w:p>
    <w:p w14:paraId="7BF99314" w14:textId="77777777" w:rsidR="0048524B" w:rsidRDefault="0048524B"/>
    <w:p w14:paraId="308C578F" w14:textId="209E6E63" w:rsidR="0048524B" w:rsidRDefault="0048524B">
      <w:r w:rsidRPr="002E1C1E">
        <w:rPr>
          <w:b/>
          <w:noProof/>
        </w:rPr>
        <w:t>Rico Ardiya Suwito</w:t>
      </w:r>
      <w:r w:rsidRPr="008357DE">
        <w:rPr>
          <w:b/>
        </w:rPr>
        <w:t xml:space="preserve">  </w:t>
      </w:r>
      <w:r>
        <w:rPr>
          <w:b/>
        </w:rPr>
        <w:t xml:space="preserve"> </w:t>
      </w:r>
      <w:r w:rsidRPr="008357DE">
        <w:t>(</w:t>
      </w:r>
      <w:r>
        <w:rPr>
          <w:noProof/>
        </w:rPr>
        <w:t>NTU</w:t>
      </w:r>
      <w:r w:rsidR="00DA0D5B">
        <w:t>)</w:t>
      </w:r>
    </w:p>
    <w:p w14:paraId="1307D501" w14:textId="77777777" w:rsidR="0048524B" w:rsidRDefault="0048524B">
      <w:pPr>
        <w:rPr>
          <w:i/>
        </w:rPr>
      </w:pPr>
      <w:r w:rsidRPr="002E1C1E">
        <w:rPr>
          <w:i/>
          <w:noProof/>
        </w:rPr>
        <w:t>Design and Development of a Job-Fair Navigation System</w:t>
      </w:r>
    </w:p>
    <w:p w14:paraId="2E8348DA" w14:textId="77777777" w:rsidR="0048524B" w:rsidRDefault="0048524B">
      <w:r>
        <w:rPr>
          <w:noProof/>
        </w:rPr>
        <w:t xml:space="preserve">The job fair is one of many mediums to advertise a company and to engage a jobseeker. It is found to be the most critical event in bridging students from university to a working environment, or even connecting anyone who is looking for a job to a workplace he/she is looking for. However, going to the right booths within a limited time is still an issue. In this project, we aim to build and develop a </w:t>
      </w:r>
      <w:r>
        <w:rPr>
          <w:noProof/>
        </w:rPr>
        <w:lastRenderedPageBreak/>
        <w:t>system which improves user experience in a job fair. A web application will be created as the front-end of the system to provide navigation within the job fair and promote interaction between a job seeker and the potential employers. It will be useful for determining the suitable booth for the job seeker and the suitable candidate for an employer. The navigation feature is only available during the job-fair event. Otherwise, the job seeker will not be able to see the navigate button. The navigation feature enables the job seeker to determine the order in which the booths of interest are visited, resulting in the time at the job fair being well spent. The system will be developed using React JS, express JS and MySQL database. Making use of real-time data analysis, we are able to come out with a system that improves user experience in a job fair.</w:t>
      </w:r>
    </w:p>
    <w:p w14:paraId="7D8EA397" w14:textId="77777777" w:rsidR="0048524B" w:rsidRDefault="0048524B"/>
    <w:p w14:paraId="3025E2B0" w14:textId="77777777" w:rsidR="00DA0D5B" w:rsidRDefault="00DA0D5B">
      <w:pPr>
        <w:rPr>
          <w:b/>
          <w:noProof/>
        </w:rPr>
      </w:pPr>
      <w:r>
        <w:rPr>
          <w:b/>
          <w:noProof/>
        </w:rPr>
        <w:br w:type="page"/>
      </w:r>
    </w:p>
    <w:p w14:paraId="2F3C422C" w14:textId="5821C50C" w:rsidR="00DA0D5B" w:rsidRDefault="00DA0D5B" w:rsidP="00DA0D5B">
      <w:pPr>
        <w:pStyle w:val="Heading1"/>
      </w:pPr>
      <w:r>
        <w:lastRenderedPageBreak/>
        <w:t xml:space="preserve">Panel 3A: </w:t>
      </w:r>
      <w:r w:rsidRPr="00DA0D5B">
        <w:t>Global Issues</w:t>
      </w:r>
    </w:p>
    <w:p w14:paraId="22914836" w14:textId="77777777" w:rsidR="00DA0D5B" w:rsidRPr="00DA0D5B" w:rsidRDefault="00DA0D5B" w:rsidP="00DA0D5B"/>
    <w:p w14:paraId="6426D43C" w14:textId="70FA99C7" w:rsidR="0048524B" w:rsidRDefault="0048524B">
      <w:r w:rsidRPr="002E1C1E">
        <w:rPr>
          <w:b/>
          <w:noProof/>
        </w:rPr>
        <w:t>Toshinobu</w:t>
      </w:r>
      <w:r w:rsidRPr="008357DE">
        <w:rPr>
          <w:b/>
        </w:rPr>
        <w:t xml:space="preserve"> </w:t>
      </w:r>
      <w:r w:rsidRPr="002E1C1E">
        <w:rPr>
          <w:b/>
          <w:noProof/>
        </w:rPr>
        <w:t>Sasazu</w:t>
      </w:r>
      <w:r w:rsidRPr="008357DE">
        <w:rPr>
          <w:b/>
        </w:rPr>
        <w:t xml:space="preserve"> </w:t>
      </w:r>
      <w:r>
        <w:rPr>
          <w:b/>
        </w:rPr>
        <w:t xml:space="preserve"> </w:t>
      </w:r>
      <w:r>
        <w:t>(Kyushu University, Japan</w:t>
      </w:r>
      <w:r w:rsidR="00AC7DBF">
        <w:t>)</w:t>
      </w:r>
    </w:p>
    <w:p w14:paraId="40A8EFB8" w14:textId="77777777" w:rsidR="0048524B" w:rsidRDefault="0048524B">
      <w:pPr>
        <w:rPr>
          <w:i/>
        </w:rPr>
      </w:pPr>
      <w:r w:rsidRPr="002E1C1E">
        <w:rPr>
          <w:i/>
          <w:noProof/>
        </w:rPr>
        <w:t>Raising Awareness of Ways of Eating in Terms of Tableware</w:t>
      </w:r>
    </w:p>
    <w:p w14:paraId="2C012B3B" w14:textId="77777777" w:rsidR="0048524B" w:rsidRDefault="0048524B">
      <w:r>
        <w:rPr>
          <w:noProof/>
        </w:rPr>
        <w:t>‘To eat is to live.’ Nowadays, food safety, food supply and diabetes have become major global issues and, especially in Japan, food waste and solitary eating are major serious issues. Needless to say, these issues are all tangled up. Quite recently, people have started focusing on these global issues, as the last expo explained. The latest expo was held in Milan, 2015, and the theme for that was ‘Feeding The Planet, Energy For Life’, which refers to the importance of food. When considering the dining table, every single dish could now be a main cuisine these days because of the increase in cooking books published by famous chefs, which invokes the lost opportunities to do ‘home cooking’. The number of cases of diabetes in the younger generation in Japanese society has been slightly increasing from 2011. These issues could probably be clarified by focusing on tableware such as re-examination of eating space, plating, etc. It is possible to raise awareness of eating by just one fact. My research focuses on tableware with the aspects of psychology, family sociology and design.</w:t>
      </w:r>
    </w:p>
    <w:p w14:paraId="43E4318D" w14:textId="77777777" w:rsidR="0048524B" w:rsidRDefault="0048524B"/>
    <w:p w14:paraId="244DD421" w14:textId="7BD30D4B" w:rsidR="0048524B" w:rsidRDefault="0048524B">
      <w:r w:rsidRPr="002E1C1E">
        <w:rPr>
          <w:b/>
          <w:noProof/>
        </w:rPr>
        <w:t>Hiroki</w:t>
      </w:r>
      <w:r w:rsidRPr="008357DE">
        <w:rPr>
          <w:b/>
        </w:rPr>
        <w:t xml:space="preserve"> </w:t>
      </w:r>
      <w:r w:rsidRPr="002E1C1E">
        <w:rPr>
          <w:b/>
          <w:noProof/>
        </w:rPr>
        <w:t>Fujita</w:t>
      </w:r>
      <w:r w:rsidRPr="008357DE">
        <w:rPr>
          <w:b/>
        </w:rPr>
        <w:t xml:space="preserve"> </w:t>
      </w:r>
      <w:r>
        <w:rPr>
          <w:b/>
        </w:rPr>
        <w:t xml:space="preserve"> </w:t>
      </w:r>
      <w:r>
        <w:t>(Kyushu University, Japan</w:t>
      </w:r>
      <w:r w:rsidR="00AC7DBF">
        <w:t>)</w:t>
      </w:r>
    </w:p>
    <w:p w14:paraId="58CFAAA9" w14:textId="77777777" w:rsidR="0048524B" w:rsidRDefault="0048524B">
      <w:pPr>
        <w:rPr>
          <w:i/>
        </w:rPr>
      </w:pPr>
      <w:r w:rsidRPr="002E1C1E">
        <w:rPr>
          <w:i/>
          <w:noProof/>
        </w:rPr>
        <w:t>Evaluating the Impact of Globalisation on People’s Mindset</w:t>
      </w:r>
    </w:p>
    <w:p w14:paraId="31D309D6" w14:textId="77777777" w:rsidR="0048524B" w:rsidRDefault="0048524B">
      <w:r>
        <w:rPr>
          <w:noProof/>
        </w:rPr>
        <w:t>Opinion on globalisation is divided: some people believe that it is good, some people believe it is bad. Personally, I have no idea about it (or should I say I have so many ideas about it!?) because there are so many elements of both good aspects and bad aspects related to globalisation. Because of this, we have to think about and understand how globalisation affects peopleʼs mindsets, how people act in relation to this mindset and how the world situation changes because of these actions related to this mindset. In this project, I look at what globalisation allows us to do and analyse today’s world situation in terms of three points: changing the number of disputes, changing the number of the incidents because of terrorism and peopleʼs uneasiness because of the framework of a community becoming larger or disappearing. I will also try to mention the relationship between globalisation and world peace. (I think that the question what is ‘world peace’ is also a big problem and I think it is possible to show one type of what ‘world peace’ is by working on this subject.)</w:t>
      </w:r>
    </w:p>
    <w:p w14:paraId="082D1490" w14:textId="77777777" w:rsidR="0048524B" w:rsidRDefault="0048524B"/>
    <w:p w14:paraId="447A862B" w14:textId="4A0BB725" w:rsidR="0048524B" w:rsidRDefault="0048524B">
      <w:r w:rsidRPr="002E1C1E">
        <w:rPr>
          <w:b/>
          <w:noProof/>
        </w:rPr>
        <w:t>Stephanie</w:t>
      </w:r>
      <w:r w:rsidRPr="008357DE">
        <w:rPr>
          <w:b/>
        </w:rPr>
        <w:t xml:space="preserve"> </w:t>
      </w:r>
      <w:r w:rsidRPr="002E1C1E">
        <w:rPr>
          <w:b/>
          <w:noProof/>
        </w:rPr>
        <w:t>Daborn</w:t>
      </w:r>
      <w:r w:rsidRPr="008357DE">
        <w:rPr>
          <w:b/>
        </w:rPr>
        <w:t xml:space="preserve"> </w:t>
      </w:r>
      <w:r>
        <w:rPr>
          <w:b/>
        </w:rPr>
        <w:t xml:space="preserve"> </w:t>
      </w:r>
      <w:r w:rsidRPr="008357DE">
        <w:t>(</w:t>
      </w:r>
      <w:r>
        <w:rPr>
          <w:noProof/>
        </w:rPr>
        <w:t>Monash University Australia</w:t>
      </w:r>
      <w:r w:rsidR="00AC7DBF">
        <w:t>)</w:t>
      </w:r>
    </w:p>
    <w:p w14:paraId="2B79FFC1" w14:textId="77777777" w:rsidR="0048524B" w:rsidRDefault="0048524B">
      <w:pPr>
        <w:rPr>
          <w:i/>
        </w:rPr>
      </w:pPr>
      <w:r w:rsidRPr="002E1C1E">
        <w:rPr>
          <w:i/>
          <w:noProof/>
        </w:rPr>
        <w:t>The Effects of Household Products on Climate Change</w:t>
      </w:r>
    </w:p>
    <w:p w14:paraId="02556AAE" w14:textId="77777777" w:rsidR="0048524B" w:rsidRDefault="0048524B" w:rsidP="00AC7DBF">
      <w:pPr>
        <w:rPr>
          <w:noProof/>
        </w:rPr>
      </w:pPr>
      <w:r>
        <w:rPr>
          <w:noProof/>
        </w:rPr>
        <w:t>This review was instigated by the research published in New Scientist magazine stating that in Los Angeles, more volatile organic compounds (the precursors to the greenhouse gas tropospheric ozone) came from household chemical products than from cars.</w:t>
      </w:r>
    </w:p>
    <w:p w14:paraId="21EA4757" w14:textId="77777777" w:rsidR="0048524B" w:rsidRDefault="0048524B" w:rsidP="00AC7DBF">
      <w:pPr>
        <w:rPr>
          <w:noProof/>
        </w:rPr>
      </w:pPr>
      <w:r>
        <w:rPr>
          <w:noProof/>
        </w:rPr>
        <w:t>Despite going against general consensus that cars and industry contribute more to climate change, volatile organic compounds are more commonly found in regularly used household products such as cleaning products and shampoos. The scope of this research is limited to post-industrial areas, areas where manufacturing is not a major economic output. This review argues that the increasing trend of cosmetic products usage over the last 20 years has contributed to greater greenhouse gases produced in urban areas.</w:t>
      </w:r>
    </w:p>
    <w:p w14:paraId="33BF9BF1" w14:textId="77777777" w:rsidR="0048524B" w:rsidRDefault="0048524B" w:rsidP="00AC7DBF">
      <w:pPr>
        <w:rPr>
          <w:noProof/>
        </w:rPr>
      </w:pPr>
      <w:r>
        <w:rPr>
          <w:noProof/>
        </w:rPr>
        <w:lastRenderedPageBreak/>
        <w:t>Upon comparing the strengths and weaknesses of recent primary scientific articles, their findings were used to determine the specific sources, effects and significance of cosmetic products on the atmosphere and greenhouse gas levels.</w:t>
      </w:r>
    </w:p>
    <w:p w14:paraId="58CE3408" w14:textId="77777777" w:rsidR="0048524B" w:rsidRDefault="0048524B">
      <w:r>
        <w:rPr>
          <w:noProof/>
        </w:rPr>
        <w:t>Cosmetic products have been found to be major sources of volatile organic compounds by many studies, in particular, those occurring in studies conducted indoors. However, fewer studies have looked at the outdoor consequences, in particular in exacerbating climate change. The implications of this research can raise awareness for the general public around how the overuse of consumer products contributes to global climate change and will give the scientific basis for campaigns aiming to reduce usage of non-essential products.</w:t>
      </w:r>
    </w:p>
    <w:p w14:paraId="79AEFBAE" w14:textId="77777777" w:rsidR="0048524B" w:rsidRDefault="0048524B"/>
    <w:p w14:paraId="48FA4E2D" w14:textId="7EC713AD" w:rsidR="0048524B" w:rsidRDefault="0048524B">
      <w:r w:rsidRPr="002E1C1E">
        <w:rPr>
          <w:b/>
          <w:noProof/>
        </w:rPr>
        <w:t>Kshitija</w:t>
      </w:r>
      <w:r w:rsidRPr="008357DE">
        <w:rPr>
          <w:b/>
        </w:rPr>
        <w:t xml:space="preserve"> </w:t>
      </w:r>
      <w:r w:rsidRPr="002E1C1E">
        <w:rPr>
          <w:b/>
          <w:noProof/>
        </w:rPr>
        <w:t>Vaidya</w:t>
      </w:r>
      <w:r w:rsidRPr="008357DE">
        <w:rPr>
          <w:b/>
        </w:rPr>
        <w:t xml:space="preserve"> </w:t>
      </w:r>
      <w:r>
        <w:rPr>
          <w:b/>
        </w:rPr>
        <w:t xml:space="preserve"> </w:t>
      </w:r>
      <w:r w:rsidRPr="008357DE">
        <w:t>(</w:t>
      </w:r>
      <w:r>
        <w:rPr>
          <w:noProof/>
        </w:rPr>
        <w:t>Monash University Australia</w:t>
      </w:r>
      <w:r w:rsidR="00AC7DBF">
        <w:t>)</w:t>
      </w:r>
    </w:p>
    <w:p w14:paraId="4595F9E0" w14:textId="77777777" w:rsidR="0048524B" w:rsidRDefault="0048524B">
      <w:pPr>
        <w:rPr>
          <w:i/>
        </w:rPr>
      </w:pPr>
      <w:r w:rsidRPr="002E1C1E">
        <w:rPr>
          <w:i/>
          <w:noProof/>
        </w:rPr>
        <w:t>The Roots of Insurgency: Rethinking the roles of deprivation and ideology</w:t>
      </w:r>
    </w:p>
    <w:p w14:paraId="259FE4F0" w14:textId="77777777" w:rsidR="0048524B" w:rsidRDefault="0048524B">
      <w:r>
        <w:rPr>
          <w:noProof/>
        </w:rPr>
        <w:t>The horrific violence unleashed by insurgent movements renders the study of insurgency both important and urgent. Initial literature addressing this topic focused on its military-strategic dimensions. More recently, academics have begun to acknowledge that insurgencies are fundamentally social phenomena, dependent on the incitation of violence at the grass-roots level. Thus, there is now a greater emphasis on understanding why people join insurgencies. While research in this area has identified several motivations that drive individuals to become insurgents, it fails to discuss how these holistically relate to one another. There is a tendency to classify motivations under the dichotomised categories of ‘socio-economic conditions’ on the one hand and ‘ideological or identity-based constructions’ on the other hand. Moreover, in political discourse, and to a lesser extent, in academic work, ideological indoctrination is identified as the most significant factor. In my research, I problematise both the aforementioned dichotomisation and the claim that ideological motivations triumph. By drawing on political violence literature as well as secondary evidence about various insurgent groups, I explore the links between social insecurity, economic deprivation, ideology and insurgency. I argue that social, economic and political injustice lies at the heart of the issue. Ideology, I propose, simply behaves as a lens that both are shaped by and frames grievances in ways that motivate sacrifice and ‘justify’ violence. Rethinking insurgency as primarily driven by structural injustices that, in turn, gives form to violent ideologies allows for a more nuanced understanding of insurgent movements.</w:t>
      </w:r>
    </w:p>
    <w:p w14:paraId="021E8782" w14:textId="77777777" w:rsidR="0048524B" w:rsidRDefault="0048524B"/>
    <w:p w14:paraId="32B3EEEB" w14:textId="77777777" w:rsidR="00AC7DBF" w:rsidRDefault="00AC7DBF">
      <w:pPr>
        <w:rPr>
          <w:b/>
          <w:noProof/>
        </w:rPr>
      </w:pPr>
      <w:r>
        <w:rPr>
          <w:b/>
          <w:noProof/>
        </w:rPr>
        <w:br w:type="page"/>
      </w:r>
    </w:p>
    <w:p w14:paraId="53E22D3F" w14:textId="71339C8C" w:rsidR="00AC7DBF" w:rsidRPr="00AC7DBF" w:rsidRDefault="00AC7DBF" w:rsidP="00AC7DBF">
      <w:pPr>
        <w:pStyle w:val="Heading1"/>
      </w:pPr>
      <w:r w:rsidRPr="00AC7DBF">
        <w:lastRenderedPageBreak/>
        <w:t>Panel 3B: Gender and Social Inclusion</w:t>
      </w:r>
    </w:p>
    <w:p w14:paraId="6171E186" w14:textId="77777777" w:rsidR="00AC7DBF" w:rsidRDefault="00AC7DBF">
      <w:pPr>
        <w:rPr>
          <w:b/>
          <w:noProof/>
        </w:rPr>
      </w:pPr>
    </w:p>
    <w:p w14:paraId="6841422B" w14:textId="4FBAEA6D" w:rsidR="0048524B" w:rsidRDefault="0048524B">
      <w:r w:rsidRPr="002E1C1E">
        <w:rPr>
          <w:b/>
          <w:noProof/>
        </w:rPr>
        <w:t>Thi Minh Chau</w:t>
      </w:r>
      <w:r w:rsidRPr="008357DE">
        <w:rPr>
          <w:b/>
        </w:rPr>
        <w:t xml:space="preserve"> </w:t>
      </w:r>
      <w:r w:rsidRPr="002E1C1E">
        <w:rPr>
          <w:b/>
          <w:noProof/>
        </w:rPr>
        <w:t>Nguyen</w:t>
      </w:r>
      <w:r w:rsidRPr="008357DE">
        <w:rPr>
          <w:b/>
        </w:rPr>
        <w:t xml:space="preserve"> </w:t>
      </w:r>
      <w:r>
        <w:rPr>
          <w:b/>
        </w:rPr>
        <w:t xml:space="preserve"> </w:t>
      </w:r>
      <w:r w:rsidRPr="008357DE">
        <w:t>(</w:t>
      </w:r>
      <w:r>
        <w:rPr>
          <w:noProof/>
        </w:rPr>
        <w:t>Monash University Australia</w:t>
      </w:r>
      <w:r w:rsidR="00AC7DBF">
        <w:t>)</w:t>
      </w:r>
    </w:p>
    <w:p w14:paraId="2A945174" w14:textId="77777777" w:rsidR="0048524B" w:rsidRDefault="0048524B">
      <w:pPr>
        <w:rPr>
          <w:i/>
        </w:rPr>
      </w:pPr>
      <w:r w:rsidRPr="002E1C1E">
        <w:rPr>
          <w:i/>
          <w:noProof/>
        </w:rPr>
        <w:t>Decriminalisation of Prostitution: Giving voice to marginalised women in Asia</w:t>
      </w:r>
    </w:p>
    <w:p w14:paraId="170593DA" w14:textId="77777777" w:rsidR="0048524B" w:rsidRDefault="0048524B" w:rsidP="00AC7DBF">
      <w:pPr>
        <w:rPr>
          <w:noProof/>
        </w:rPr>
      </w:pPr>
      <w:r>
        <w:rPr>
          <w:noProof/>
        </w:rPr>
        <w:t>In the last decade, the world has been witnessing emerging feminist movements, most recently #MeToo followed by the Time’s Up movement to enforce women’s rights against sexual crimes. However, arguably, such feminist movements appear to target and benefit only certain types of woman, leaving other groups marginalised, namely sex workers. In most Asian developing countries where prostitution is illegal, sex workers are increasingly reluctant to report sexual assaults or violence, as they do not see themselves as victims. Criminalisation of prostitution seems to aggravate this issue by deeming potential victims as criminals. This paper will explore arguments around the debate of decriminalisation of prostitution in relation to its effect on reducing sexual offences and protecting women’s rights. Drawing on legislation and publicly available reports, data will be analysed in the light of academic research and articles, as well as public opinion in the media. Western and Eastern legislative frameworks, such as France, South Korea and Vietnam, will be compared and contrasted in order to provide novel insights into addressing this problem. This may suggest further research that will have potentially important implications in legislative and executive decisions of Asian nations in regard to marginalised groups’ rights, as well as the public view of sex workers.</w:t>
      </w:r>
    </w:p>
    <w:p w14:paraId="4C05DB53" w14:textId="77777777" w:rsidR="0048524B" w:rsidRDefault="0048524B">
      <w:r>
        <w:rPr>
          <w:noProof/>
        </w:rPr>
        <w:t>Keywords: Criminalisation, decriminalisation, prostitution, Asia, human rights, sexual offences</w:t>
      </w:r>
    </w:p>
    <w:p w14:paraId="17BBE3C9" w14:textId="77777777" w:rsidR="0048524B" w:rsidRDefault="0048524B"/>
    <w:p w14:paraId="1E1E4753" w14:textId="77AE4D6F" w:rsidR="0048524B" w:rsidRDefault="0048524B">
      <w:r w:rsidRPr="002E1C1E">
        <w:rPr>
          <w:b/>
          <w:noProof/>
        </w:rPr>
        <w:t>Katherine</w:t>
      </w:r>
      <w:r w:rsidRPr="008357DE">
        <w:rPr>
          <w:b/>
        </w:rPr>
        <w:t xml:space="preserve"> </w:t>
      </w:r>
      <w:r w:rsidRPr="002E1C1E">
        <w:rPr>
          <w:b/>
          <w:noProof/>
        </w:rPr>
        <w:t>Rozycki</w:t>
      </w:r>
      <w:r w:rsidRPr="008357DE">
        <w:rPr>
          <w:b/>
        </w:rPr>
        <w:t xml:space="preserve"> </w:t>
      </w:r>
      <w:r>
        <w:rPr>
          <w:b/>
        </w:rPr>
        <w:t xml:space="preserve"> </w:t>
      </w:r>
      <w:r w:rsidRPr="008357DE">
        <w:t>(</w:t>
      </w:r>
      <w:r>
        <w:rPr>
          <w:noProof/>
        </w:rPr>
        <w:t>Monash University Australia</w:t>
      </w:r>
      <w:r w:rsidR="00AC7DBF">
        <w:t>)</w:t>
      </w:r>
    </w:p>
    <w:p w14:paraId="0AA30290" w14:textId="77777777" w:rsidR="0048524B" w:rsidRDefault="0048524B">
      <w:pPr>
        <w:rPr>
          <w:i/>
        </w:rPr>
      </w:pPr>
      <w:r w:rsidRPr="002E1C1E">
        <w:rPr>
          <w:i/>
          <w:noProof/>
        </w:rPr>
        <w:t>Sexism in Music Lyrics in Various Countries</w:t>
      </w:r>
    </w:p>
    <w:p w14:paraId="2AA605C3" w14:textId="77777777" w:rsidR="0048524B" w:rsidRDefault="0048524B">
      <w:r>
        <w:rPr>
          <w:noProof/>
        </w:rPr>
        <w:t>Music reflects and perpetuates societal norms. Therefore, if there is a significant difference in attitudes towards the two sexes between different countries, then this would be reflected in their popular music. My previous research determined a significant increase in sexist references in popular music lyrics from around the mid-1980s to the late-2000s, and a steady drop from the late-2000s to the present. However, this research only takes into account the United States, and the trend may be different, or more or less pronounced, in other countries in the world. I will analyse the lyrics of the top 27 songs in Australia and Poland of the years 1986, 2008, 2010, 2016 and 2017 for three types of sexism: hostile misogyny, hostile misandry and benevolent sexism. These are the years that showed troughs or peaks in my US charts research. I chose Australia, as that is my home country, and as an English-speaking country, it would be expected to be fairly similar to the US. I also chose Poland as their music would be expected to be more different to that of the US, and I am fluent in Polish. This research will help uncover the differences in the sexist attitudes being presented to youth in different countries. This could also lay the base for further research into sexist attitudes in different countries and their reflection in various artforms and areas of everyday life. I believe this is an important step to discover the cultures where sexism is more prevalent.</w:t>
      </w:r>
    </w:p>
    <w:p w14:paraId="3E37CD33" w14:textId="77777777" w:rsidR="0048524B" w:rsidRDefault="0048524B"/>
    <w:p w14:paraId="27E9750A" w14:textId="77777777" w:rsidR="00AC7DBF" w:rsidRDefault="00AC7DBF">
      <w:pPr>
        <w:rPr>
          <w:b/>
          <w:noProof/>
        </w:rPr>
      </w:pPr>
      <w:r>
        <w:rPr>
          <w:b/>
          <w:noProof/>
        </w:rPr>
        <w:br w:type="page"/>
      </w:r>
    </w:p>
    <w:p w14:paraId="7DC802AD" w14:textId="02057F18" w:rsidR="0048524B" w:rsidRDefault="0048524B">
      <w:r w:rsidRPr="002E1C1E">
        <w:rPr>
          <w:b/>
          <w:noProof/>
        </w:rPr>
        <w:lastRenderedPageBreak/>
        <w:t>Rajkumar Thiagaras</w:t>
      </w:r>
      <w:r w:rsidRPr="008357DE">
        <w:rPr>
          <w:b/>
        </w:rPr>
        <w:t xml:space="preserve">  </w:t>
      </w:r>
      <w:r>
        <w:rPr>
          <w:b/>
        </w:rPr>
        <w:t xml:space="preserve"> </w:t>
      </w:r>
      <w:r w:rsidRPr="008357DE">
        <w:t>(</w:t>
      </w:r>
      <w:r>
        <w:rPr>
          <w:noProof/>
        </w:rPr>
        <w:t>NTU</w:t>
      </w:r>
      <w:r w:rsidR="00AC7DBF">
        <w:t>)</w:t>
      </w:r>
    </w:p>
    <w:p w14:paraId="7D1BAF4A" w14:textId="77777777" w:rsidR="0048524B" w:rsidRDefault="0048524B">
      <w:pPr>
        <w:rPr>
          <w:i/>
        </w:rPr>
      </w:pPr>
      <w:r w:rsidRPr="002E1C1E">
        <w:rPr>
          <w:i/>
          <w:noProof/>
        </w:rPr>
        <w:t>Stri Parva: A creative feminist reinterpretation of the Mahabharata</w:t>
      </w:r>
    </w:p>
    <w:p w14:paraId="2A20A13F" w14:textId="77777777" w:rsidR="0048524B" w:rsidRDefault="0048524B">
      <w:r>
        <w:rPr>
          <w:noProof/>
        </w:rPr>
        <w:t>There is a lack of feminine agency in the Mahabharata, which overtly focuses on masculine valour and heroic worship of male protagonists. Instead, there is a shocking amount of misogynistic treatment of women in the upakhyanas, or subordinate tales that frame the main narrative of the Mahabharata. These are tales that form ancient views of female sexuality that emphasise women’s passivity and lack of power. As such, I attempt to utilise creative writing as a revisionist attempt to explore these tales under a post-modern, feminist lens. Through a selection and analysis of upakhyanas that feature blatant exploitation of women’s bodies and misrepresentation of their sexuality, I aim to write a play featuring selected upakhyanas set in a modern-day worldview to contrast with Vedic ideology. A radical characterisation of female characters such as Satyavati, Ganga, Madhavi, Amba, Oghavati and Sakuntala will be explored to mimic the deformity of women’s portrayal by patriarchy and their manipulation by fathers, husbands and other familial figures of authority. Through this writing process, it is evident that there is an insidious exploitation of women by family structures that contribute to toxic patriarchy, fuelled by a primordial fear of feminine power. As such, there is a strong need for such tales to be re-represented so as to recognise pervasive quality of misogynistic social structures that curtail female sexuality.</w:t>
      </w:r>
    </w:p>
    <w:p w14:paraId="40D6AF00" w14:textId="77777777" w:rsidR="0048524B" w:rsidRDefault="0048524B"/>
    <w:p w14:paraId="070466EC" w14:textId="5F8164D1" w:rsidR="0048524B" w:rsidRDefault="0048524B">
      <w:r w:rsidRPr="002E1C1E">
        <w:rPr>
          <w:b/>
          <w:noProof/>
        </w:rPr>
        <w:t>Nashima</w:t>
      </w:r>
      <w:r w:rsidRPr="008357DE">
        <w:rPr>
          <w:b/>
        </w:rPr>
        <w:t xml:space="preserve"> </w:t>
      </w:r>
      <w:r w:rsidRPr="002E1C1E">
        <w:rPr>
          <w:b/>
          <w:noProof/>
        </w:rPr>
        <w:t>Banu</w:t>
      </w:r>
      <w:r w:rsidRPr="008357DE">
        <w:rPr>
          <w:b/>
        </w:rPr>
        <w:t xml:space="preserve"> </w:t>
      </w:r>
      <w:r w:rsidRPr="002E1C1E">
        <w:rPr>
          <w:b/>
          <w:noProof/>
        </w:rPr>
        <w:t>and Mohamed Ansari</w:t>
      </w:r>
      <w:r>
        <w:rPr>
          <w:b/>
        </w:rPr>
        <w:t xml:space="preserve"> </w:t>
      </w:r>
      <w:r w:rsidRPr="008357DE">
        <w:t>(</w:t>
      </w:r>
      <w:r>
        <w:rPr>
          <w:noProof/>
        </w:rPr>
        <w:t>NTU</w:t>
      </w:r>
      <w:r w:rsidR="00AC7DBF">
        <w:t>)</w:t>
      </w:r>
    </w:p>
    <w:p w14:paraId="4EED2FFE" w14:textId="77777777" w:rsidR="0048524B" w:rsidRDefault="0048524B">
      <w:pPr>
        <w:rPr>
          <w:i/>
        </w:rPr>
      </w:pPr>
      <w:r w:rsidRPr="002E1C1E">
        <w:rPr>
          <w:i/>
          <w:noProof/>
        </w:rPr>
        <w:t>The Use of Mobile Applications to Improve Reading Skills of Learning Support Programme (LSP) Students</w:t>
      </w:r>
    </w:p>
    <w:p w14:paraId="7C570F51" w14:textId="77777777" w:rsidR="0048524B" w:rsidRDefault="0048524B">
      <w:r>
        <w:rPr>
          <w:noProof/>
        </w:rPr>
        <w:t>As it is crucial to decode, articulate and comprehend written language, Singapore’s education system places great emphasis on reading through initiatives like the Learning Support Programme (LSP). LSP has been conducted since 1992 for students aged seven and eight lacking in developmentally appropriate English language reading skills. Integration of technology with classroom teaching and learning, such as through mobile applications, is believed to enhance fundamental literacy skills like reading. Current research has been more inclined towards analysing the use of mobile applications on improving conceptual reading skills. This project conducted a combinatorial analysis on how mobile applications build procedural skills (phonemic awareness, pronunciation) and conceptual skills (vocabulary) in English language for LSP students, in consonance with the LSP syllabus specially designed by the Singapore Ministry of Education. This project hopes to add deeper understanding to the use of appropriate mobile applications to improve reading skills of struggling readers. Four mobile applications (Moo-O, Endless Reader, Starfall’s I’m Reading and Phonics Fun on Farm) were analysed in terms of language learning, pedagogy, user experience and technology. Derived results and relevant literature review sources were used to evaluate the advantages and disadvantages these applications impose on improving the specified skills. Results indicate that more than one mobile application has to be employed as no one application was able to deliver all the necessary learning outcomes and instruction methods required to teach these skills. Future application makers can consider incorporating all stated aspects in a single application for students’ holistic reading skill acquisition.</w:t>
      </w:r>
    </w:p>
    <w:p w14:paraId="32F393C8" w14:textId="77777777" w:rsidR="0048524B" w:rsidRDefault="0048524B"/>
    <w:p w14:paraId="0CF71F9C" w14:textId="77777777" w:rsidR="00AC7DBF" w:rsidRDefault="00AC7DBF">
      <w:pPr>
        <w:rPr>
          <w:b/>
          <w:noProof/>
        </w:rPr>
      </w:pPr>
    </w:p>
    <w:p w14:paraId="1457CFBD" w14:textId="77777777" w:rsidR="00AC7DBF" w:rsidRDefault="00AC7DBF">
      <w:pPr>
        <w:rPr>
          <w:b/>
          <w:noProof/>
        </w:rPr>
      </w:pPr>
      <w:r>
        <w:rPr>
          <w:b/>
          <w:noProof/>
        </w:rPr>
        <w:br w:type="page"/>
      </w:r>
    </w:p>
    <w:p w14:paraId="6296C63B" w14:textId="688C920F" w:rsidR="00AC7DBF" w:rsidRPr="00AC7DBF" w:rsidRDefault="00AC7DBF" w:rsidP="00AC7DBF">
      <w:pPr>
        <w:pStyle w:val="Heading1"/>
      </w:pPr>
      <w:r w:rsidRPr="00AC7DBF">
        <w:lastRenderedPageBreak/>
        <w:t xml:space="preserve">Panel 3C: </w:t>
      </w:r>
      <w:r w:rsidRPr="00AC7DBF">
        <w:rPr>
          <w:lang w:eastAsia="en-GB"/>
        </w:rPr>
        <w:t>Mental and Physical Health</w:t>
      </w:r>
    </w:p>
    <w:p w14:paraId="228E8376" w14:textId="77777777" w:rsidR="00AC7DBF" w:rsidRDefault="00AC7DBF">
      <w:pPr>
        <w:rPr>
          <w:b/>
          <w:noProof/>
        </w:rPr>
      </w:pPr>
    </w:p>
    <w:p w14:paraId="45793526" w14:textId="2170E057" w:rsidR="0048524B" w:rsidRDefault="0048524B">
      <w:r w:rsidRPr="002E1C1E">
        <w:rPr>
          <w:b/>
          <w:noProof/>
        </w:rPr>
        <w:t>Taha</w:t>
      </w:r>
      <w:r w:rsidRPr="008357DE">
        <w:rPr>
          <w:b/>
        </w:rPr>
        <w:t xml:space="preserve"> </w:t>
      </w:r>
      <w:r w:rsidRPr="002E1C1E">
        <w:rPr>
          <w:b/>
          <w:noProof/>
        </w:rPr>
        <w:t>Mollah</w:t>
      </w:r>
      <w:r w:rsidRPr="008357DE">
        <w:rPr>
          <w:b/>
        </w:rPr>
        <w:t xml:space="preserve"> </w:t>
      </w:r>
      <w:r>
        <w:rPr>
          <w:b/>
        </w:rPr>
        <w:t xml:space="preserve"> </w:t>
      </w:r>
      <w:r w:rsidRPr="008357DE">
        <w:t>(</w:t>
      </w:r>
      <w:r>
        <w:rPr>
          <w:noProof/>
        </w:rPr>
        <w:t>Monash University Australia</w:t>
      </w:r>
      <w:r w:rsidR="00AC7DBF">
        <w:t>)</w:t>
      </w:r>
    </w:p>
    <w:p w14:paraId="55F8D64F" w14:textId="77777777" w:rsidR="0048524B" w:rsidRDefault="0048524B">
      <w:pPr>
        <w:rPr>
          <w:i/>
        </w:rPr>
      </w:pPr>
      <w:r w:rsidRPr="002E1C1E">
        <w:rPr>
          <w:i/>
          <w:noProof/>
        </w:rPr>
        <w:t>Impact of a Newly Established Young Adult Inflammatory Bowel Disease (IBD) Clinic on Clinical Outcomes and Patient Satisfaction</w:t>
      </w:r>
    </w:p>
    <w:p w14:paraId="464276EE" w14:textId="77777777" w:rsidR="0048524B" w:rsidRDefault="0048524B">
      <w:r>
        <w:rPr>
          <w:noProof/>
        </w:rPr>
        <w:t>Transition from paediatric to adult care for patients with chronic illnesses is associated with a deterioration in clinical wellbeing and patient dissatisfaction. We have recently established a young adult IBD clinic in Melbourne and aimed to evaluate two matters: the impact of the clinic on IBD-specific Emergency Department (IBD-ED) visits, and patient satisfaction with the clinic service. We developed an IBD-Patient Satisfaction Questionnaire (IBD-PSQ) to assess satisfaction and electronic medical records for ED attendance were examined to identify the number of IBD-ED visits before and after a patient’s first clinic appointment. Forty-eight unique patients were identified with 65 per cent being female. Before first clinic attendance, 38.78 per cent of patients had had an ED visit with 63.18 per cent of these visits being female. IBD-ED visits decreased to 14.39 per cent post-clinic (p&lt;0.05). Of the 14.39 per cent with a post-clinic ED presentation, two-thirds were patients who had had an ED presentation in the past. From this data, there was an absolute reduction of 24 per cent in post-clinic ED visits over a period of 365 days (p. 4). After the establishment of our young adult clinic, patients had an absolute reduction in the number of ED attendances and were generally satisfied with the level of care delivered in the clinic. Further follow-up is required to assess the long-term outcome of the clinic on IBD-ED visits. The effect of recommendations made for improvements in the delivery of healthcare in this clinic requires further assessment.</w:t>
      </w:r>
    </w:p>
    <w:p w14:paraId="7ED96751" w14:textId="77777777" w:rsidR="0048524B" w:rsidRDefault="0048524B"/>
    <w:p w14:paraId="755D8CFA" w14:textId="0D541642" w:rsidR="0048524B" w:rsidRDefault="0048524B">
      <w:r w:rsidRPr="002E1C1E">
        <w:rPr>
          <w:b/>
          <w:noProof/>
        </w:rPr>
        <w:t>Sudhir</w:t>
      </w:r>
      <w:r w:rsidRPr="008357DE">
        <w:rPr>
          <w:b/>
        </w:rPr>
        <w:t xml:space="preserve"> </w:t>
      </w:r>
      <w:r w:rsidRPr="002E1C1E">
        <w:rPr>
          <w:b/>
          <w:noProof/>
        </w:rPr>
        <w:t>Mandarapu</w:t>
      </w:r>
      <w:r w:rsidRPr="008357DE">
        <w:rPr>
          <w:b/>
        </w:rPr>
        <w:t xml:space="preserve"> </w:t>
      </w:r>
      <w:r>
        <w:rPr>
          <w:b/>
        </w:rPr>
        <w:t xml:space="preserve"> </w:t>
      </w:r>
      <w:r w:rsidRPr="008357DE">
        <w:t>(</w:t>
      </w:r>
      <w:r>
        <w:rPr>
          <w:noProof/>
        </w:rPr>
        <w:t>Monash University Australia</w:t>
      </w:r>
      <w:r w:rsidR="00AC7DBF">
        <w:t>)</w:t>
      </w:r>
    </w:p>
    <w:p w14:paraId="20F64B15" w14:textId="77777777" w:rsidR="0048524B" w:rsidRDefault="0048524B">
      <w:pPr>
        <w:rPr>
          <w:i/>
        </w:rPr>
      </w:pPr>
      <w:r w:rsidRPr="002E1C1E">
        <w:rPr>
          <w:i/>
          <w:noProof/>
        </w:rPr>
        <w:t>Linguistic and Non-Linguistic Feature Extraction for Depression Detection</w:t>
      </w:r>
    </w:p>
    <w:p w14:paraId="23AB2CA3" w14:textId="77777777" w:rsidR="0048524B" w:rsidRDefault="0048524B">
      <w:r>
        <w:rPr>
          <w:noProof/>
        </w:rPr>
        <w:t>Depression is described as a continued lack of positive emotions that can have a detrimental effect on one’s life. The sooner it is detected and addressed, the quicker the suffering individual can recover. This study aims to build a tool that applies natural language processing and machine learning to predict whether someone is showing symptoms of depression based on texts produced by them. This investigation is centred around the DAIC-WOZ depression dataset of transcripts and audio recordings from 189 clinical interviews with depressed and non-depressed people. The production of the tool is carried out in two iterations. Firstly, we establish the linguistic features that are to be used in the machine-learning classifier. These are extracted from clinical guidelines and literature about depression as well as from the dataset itself by identifying differences between the conversations with depressed and non-depressed individuals. Feature extraction from the dataset is performed using natural language techniques that have successfully been used for similar tasks in the recent past such as using the Linguistic Inquiry and Word Count tool. Secondly, we apply the same processes mentioned previously while focusing on non-linguistic features. These are mainly extracted from the audio files in the dataset. Once established, we incorporate these features into the model so the classifier can leverage both linguistic and non-linguistic characteristics when classifying texts. The production of an intelligent classifier model will complement the diagnosis process of clinicians and help them intervene and help individuals recover sooner.</w:t>
      </w:r>
    </w:p>
    <w:p w14:paraId="78DC320B" w14:textId="77777777" w:rsidR="0048524B" w:rsidRDefault="0048524B"/>
    <w:p w14:paraId="3278BF1E" w14:textId="4014CAED" w:rsidR="0048524B" w:rsidRDefault="0048524B">
      <w:r w:rsidRPr="002E1C1E">
        <w:rPr>
          <w:b/>
          <w:noProof/>
        </w:rPr>
        <w:lastRenderedPageBreak/>
        <w:t>Debbie</w:t>
      </w:r>
      <w:r w:rsidRPr="008357DE">
        <w:rPr>
          <w:b/>
        </w:rPr>
        <w:t xml:space="preserve"> </w:t>
      </w:r>
      <w:r w:rsidRPr="002E1C1E">
        <w:rPr>
          <w:b/>
          <w:noProof/>
        </w:rPr>
        <w:t>Chong</w:t>
      </w:r>
      <w:r w:rsidRPr="008357DE">
        <w:rPr>
          <w:b/>
        </w:rPr>
        <w:t xml:space="preserve"> </w:t>
      </w:r>
      <w:r>
        <w:rPr>
          <w:b/>
        </w:rPr>
        <w:t xml:space="preserve"> </w:t>
      </w:r>
      <w:r w:rsidRPr="008357DE">
        <w:t>(</w:t>
      </w:r>
      <w:r>
        <w:rPr>
          <w:noProof/>
        </w:rPr>
        <w:t>Monash University Australia</w:t>
      </w:r>
      <w:r w:rsidR="00AC7DBF">
        <w:t>)</w:t>
      </w:r>
    </w:p>
    <w:p w14:paraId="5D48A3C2" w14:textId="77777777" w:rsidR="0048524B" w:rsidRDefault="0048524B">
      <w:pPr>
        <w:rPr>
          <w:i/>
        </w:rPr>
      </w:pPr>
      <w:r w:rsidRPr="002E1C1E">
        <w:rPr>
          <w:i/>
          <w:noProof/>
        </w:rPr>
        <w:t>The Past, Present and Future of Prostheses</w:t>
      </w:r>
    </w:p>
    <w:p w14:paraId="46BF3CB7" w14:textId="77777777" w:rsidR="0048524B" w:rsidRDefault="0048524B">
      <w:r>
        <w:rPr>
          <w:noProof/>
        </w:rPr>
        <w:t>Prostheses have been mentioned throughout human history and have been used to replace missing limbs due to injury, disease or a congenital defect. They are often used to restore normal functions of the missing limb. Prostheses up until the early twenty-first century, while functional, could not fully replicate and replace the patient’s missing appendage. The rapid progress of technology in the twenty-first century has led to many advances in the field of bionics which have allowed for a better quality of life for patients all over the world. Currently, bionic limbs allow for the function of the original limb to be mimicked closely. However, most of these limbs only allow a small degree of movement and a conscious effort to move the limb on the recipient’s part. These drawbacks have a negative impact on the motility and fluidity on the movement of prostheses. The development of mind-controlled prostheses is thought to be able to provide a more versatile and user-friendly interface that would allow for greater and more streamlined limb movements, such as those seen in biological limbs. By evaluating available literature, this research intends to give a brief overview on the development of prostheses and will highlight areas for further research into thought-controlled bionic limbs.</w:t>
      </w:r>
    </w:p>
    <w:p w14:paraId="31892042" w14:textId="77777777" w:rsidR="0048524B" w:rsidRDefault="0048524B"/>
    <w:p w14:paraId="74A74D67" w14:textId="0B161411" w:rsidR="0048524B" w:rsidRDefault="0048524B">
      <w:r w:rsidRPr="002E1C1E">
        <w:rPr>
          <w:b/>
          <w:noProof/>
        </w:rPr>
        <w:t>Melissa Shin Yi Choo</w:t>
      </w:r>
      <w:r w:rsidRPr="008357DE">
        <w:rPr>
          <w:b/>
        </w:rPr>
        <w:t xml:space="preserve">  </w:t>
      </w:r>
      <w:r>
        <w:rPr>
          <w:b/>
        </w:rPr>
        <w:t xml:space="preserve"> </w:t>
      </w:r>
      <w:r w:rsidRPr="008357DE">
        <w:t>(</w:t>
      </w:r>
      <w:r>
        <w:rPr>
          <w:noProof/>
        </w:rPr>
        <w:t>Monash University Malaysia</w:t>
      </w:r>
      <w:r w:rsidR="00AC7DBF">
        <w:t>)</w:t>
      </w:r>
    </w:p>
    <w:p w14:paraId="515168EB" w14:textId="77777777" w:rsidR="0048524B" w:rsidRDefault="0048524B">
      <w:pPr>
        <w:rPr>
          <w:i/>
        </w:rPr>
      </w:pPr>
      <w:r w:rsidRPr="002E1C1E">
        <w:rPr>
          <w:i/>
          <w:noProof/>
        </w:rPr>
        <w:t>Different Aspects of Children with Undifferentiated Intellectual Disability: A literature review</w:t>
      </w:r>
    </w:p>
    <w:p w14:paraId="3B32ECFE" w14:textId="77777777" w:rsidR="0048524B" w:rsidRDefault="0048524B" w:rsidP="00AC7DBF">
      <w:pPr>
        <w:rPr>
          <w:noProof/>
        </w:rPr>
      </w:pPr>
      <w:r>
        <w:rPr>
          <w:noProof/>
        </w:rPr>
        <w:t>About 1 to 3 per cent of the global population, which is approximately 200 million people worldwide, have Intellectual Disability (ID). ID is a general neurological dysfunction symptom defined as having a below-average cognitive ability associated with deficits or impairments in adaptive skills. Children with developmental delays that are unable to be categorised into a specific syndrome or disorder such as Down’s Syndrome (DS) or Autism Spectrum Disorder (ASD) are described as having Undifferentiated ID (UID). Many studies have been conducted specifically on children with ASD, DS and William’s Syndrome but few have their spotlights particularly on children with UID.</w:t>
      </w:r>
    </w:p>
    <w:p w14:paraId="2BBA9C26" w14:textId="77777777" w:rsidR="0048524B" w:rsidRDefault="0048524B" w:rsidP="00AC7DBF">
      <w:pPr>
        <w:rPr>
          <w:noProof/>
        </w:rPr>
      </w:pPr>
      <w:r>
        <w:rPr>
          <w:noProof/>
        </w:rPr>
        <w:t>This review will critically examine the current literature, looking at possible causes, symptoms (types of developmental delays), overall health condition, possible behavioural problems and cognitive functions (e.g. working memory). This paper aims to contribute a more recent and comprehensive view of the field and attempts to find possible traits or distinctive features of children with UID which could possibly provide a strong foundation for future research on ID syndromes.</w:t>
      </w:r>
    </w:p>
    <w:p w14:paraId="31052969" w14:textId="77777777" w:rsidR="0048524B" w:rsidRDefault="0048524B">
      <w:r>
        <w:rPr>
          <w:noProof/>
        </w:rPr>
        <w:t>A systematic review is especially important for educators to design suitable teaching approaches, healthcare providers to administer medical support in the best manner and parents of children with UID to effectively manage their child’s needs and help them adjust to the real world. Moreover, this could help raise awareness in the society and hopefully reduces discrimination towards this population with ID in general.</w:t>
      </w:r>
    </w:p>
    <w:p w14:paraId="2E125F30" w14:textId="77777777" w:rsidR="0048524B" w:rsidRDefault="0048524B"/>
    <w:p w14:paraId="7F7F9D61" w14:textId="77777777" w:rsidR="00AC7DBF" w:rsidRDefault="00AC7DBF">
      <w:pPr>
        <w:rPr>
          <w:b/>
          <w:noProof/>
        </w:rPr>
      </w:pPr>
      <w:r>
        <w:rPr>
          <w:b/>
          <w:noProof/>
        </w:rPr>
        <w:br w:type="page"/>
      </w:r>
    </w:p>
    <w:p w14:paraId="7F78E2C2" w14:textId="6CDA0024" w:rsidR="00AC7DBF" w:rsidRPr="00AC7DBF" w:rsidRDefault="00AC7DBF" w:rsidP="00AC7DBF">
      <w:pPr>
        <w:pStyle w:val="Heading1"/>
      </w:pPr>
      <w:r w:rsidRPr="00AC7DBF">
        <w:lastRenderedPageBreak/>
        <w:t>Panel 4A: Perception</w:t>
      </w:r>
    </w:p>
    <w:p w14:paraId="02446270" w14:textId="77777777" w:rsidR="00AC7DBF" w:rsidRPr="00AC7DBF" w:rsidRDefault="00AC7DBF" w:rsidP="00AC7DBF">
      <w:pPr>
        <w:rPr>
          <w:lang w:eastAsia="en-GB"/>
        </w:rPr>
      </w:pPr>
    </w:p>
    <w:p w14:paraId="11DA7734" w14:textId="7E7303BC" w:rsidR="0048524B" w:rsidRDefault="0048524B">
      <w:r w:rsidRPr="002E1C1E">
        <w:rPr>
          <w:b/>
          <w:noProof/>
        </w:rPr>
        <w:t>Yuka</w:t>
      </w:r>
      <w:r w:rsidRPr="008357DE">
        <w:rPr>
          <w:b/>
        </w:rPr>
        <w:t xml:space="preserve"> </w:t>
      </w:r>
      <w:r w:rsidRPr="002E1C1E">
        <w:rPr>
          <w:b/>
          <w:noProof/>
        </w:rPr>
        <w:t>Dozaki</w:t>
      </w:r>
      <w:r w:rsidRPr="008357DE">
        <w:rPr>
          <w:b/>
        </w:rPr>
        <w:t xml:space="preserve"> </w:t>
      </w:r>
      <w:r>
        <w:rPr>
          <w:b/>
        </w:rPr>
        <w:t xml:space="preserve"> </w:t>
      </w:r>
      <w:r>
        <w:t>(Kyushu University, Japan</w:t>
      </w:r>
      <w:r w:rsidR="00AC7DBF">
        <w:t>)</w:t>
      </w:r>
    </w:p>
    <w:p w14:paraId="051BB34D" w14:textId="77777777" w:rsidR="0048524B" w:rsidRDefault="0048524B">
      <w:pPr>
        <w:rPr>
          <w:i/>
        </w:rPr>
      </w:pPr>
      <w:r w:rsidRPr="002E1C1E">
        <w:rPr>
          <w:i/>
          <w:noProof/>
        </w:rPr>
        <w:t>The Mechanism of Coexistence Both Tradition and Novelty and the Community Structure in Daimyo Area</w:t>
      </w:r>
    </w:p>
    <w:p w14:paraId="12BA474C" w14:textId="77777777" w:rsidR="0048524B" w:rsidRDefault="0048524B">
      <w:r>
        <w:rPr>
          <w:noProof/>
        </w:rPr>
        <w:t>Daimyo is one of the popular shopping areas in Fukuoka, Japan. This town attracts the young through many stylish clothing shops and restaurants and has a high shop turnover. This place is the fashion capital of Fukuoka. On the other hand, there are some old-established shops and old houses. The first aim of this study is sorting features of these old shops and houses, and solving the reasons why they remained in spite of urbanisation. The second purpose is finding out the mechanism of coexistence – both tradition and novelty. In other words, an admixture of urban tourist place and the life in traditional shopping, entertainment and residential districts. The author surveyed the history of this area, interviewed some people and observed them and street scenery. Through these anthropological ways, the author considered the relationship between people who opened their shops a long time ago, new owners and regular customers, and also analysed the community structure in this area. Finally, it was revealed how the identity of the Daimyo area was created up to the present and how it is going to be succeeded.</w:t>
      </w:r>
    </w:p>
    <w:p w14:paraId="0F4DFC8A" w14:textId="77777777" w:rsidR="0048524B" w:rsidRDefault="0048524B"/>
    <w:p w14:paraId="3DDDEA03" w14:textId="3695626F" w:rsidR="0048524B" w:rsidRDefault="0048524B">
      <w:r w:rsidRPr="002E1C1E">
        <w:rPr>
          <w:b/>
          <w:noProof/>
        </w:rPr>
        <w:t>Chihiro</w:t>
      </w:r>
      <w:r w:rsidRPr="008357DE">
        <w:rPr>
          <w:b/>
        </w:rPr>
        <w:t xml:space="preserve"> </w:t>
      </w:r>
      <w:r w:rsidRPr="002E1C1E">
        <w:rPr>
          <w:b/>
          <w:noProof/>
        </w:rPr>
        <w:t>Ban</w:t>
      </w:r>
      <w:r w:rsidRPr="008357DE">
        <w:rPr>
          <w:b/>
        </w:rPr>
        <w:t xml:space="preserve"> </w:t>
      </w:r>
      <w:r>
        <w:rPr>
          <w:b/>
        </w:rPr>
        <w:t xml:space="preserve"> </w:t>
      </w:r>
      <w:r>
        <w:t>(Kyushu University, Japan</w:t>
      </w:r>
      <w:r w:rsidR="00AC7DBF">
        <w:t>)</w:t>
      </w:r>
    </w:p>
    <w:p w14:paraId="0567518E" w14:textId="77777777" w:rsidR="0048524B" w:rsidRDefault="0048524B">
      <w:pPr>
        <w:rPr>
          <w:i/>
        </w:rPr>
      </w:pPr>
      <w:r w:rsidRPr="002E1C1E">
        <w:rPr>
          <w:i/>
          <w:noProof/>
        </w:rPr>
        <w:t>How to See the World Through Reality or Actuality – Using an example of the Japanese perception of the Islamic image</w:t>
      </w:r>
    </w:p>
    <w:p w14:paraId="67B06D9B" w14:textId="77777777" w:rsidR="0048524B" w:rsidRDefault="0048524B">
      <w:r>
        <w:rPr>
          <w:noProof/>
        </w:rPr>
        <w:t>We each see the world using our own filters, which is based on our experience, viewpoint or knowledge. This filter totally changes how we as individuals see the world; however, we usually do not recognise this. A thing that physically exists is called ‘Reality’; on the other hand, a thing that exists because of our imagination and filters is called ‘Actuality’. This difference generates our miscommunication and often causes prejudices and stereotypes. Although they cannot be eliminated completely, what we can do is to understand this difference from others’ viewpoints. I would like to explore a different recognition using the Japanese perception of the Islamic image, because the Japanese image of Islam is constructed by limited information and they have some misunderstandings, including not knowing what the original story is. In this research, I use a qualitative survey with aspects of gender, religion and music. Finally, I would like to explore how to grow in diversity and develop interaction with each other. My aim of this research is to understand how actuality includes many differences from realities and break down barriers that people have due to negative imagination.</w:t>
      </w:r>
    </w:p>
    <w:p w14:paraId="7669B5E9" w14:textId="77777777" w:rsidR="0048524B" w:rsidRDefault="0048524B"/>
    <w:p w14:paraId="5074AD58" w14:textId="16C9C6F6" w:rsidR="0048524B" w:rsidRDefault="0048524B">
      <w:r w:rsidRPr="002E1C1E">
        <w:rPr>
          <w:b/>
          <w:noProof/>
        </w:rPr>
        <w:t>Chieri</w:t>
      </w:r>
      <w:r w:rsidRPr="008357DE">
        <w:rPr>
          <w:b/>
        </w:rPr>
        <w:t xml:space="preserve"> </w:t>
      </w:r>
      <w:r w:rsidRPr="002E1C1E">
        <w:rPr>
          <w:b/>
          <w:noProof/>
        </w:rPr>
        <w:t>Ameku</w:t>
      </w:r>
      <w:r w:rsidRPr="008357DE">
        <w:rPr>
          <w:b/>
        </w:rPr>
        <w:t xml:space="preserve"> </w:t>
      </w:r>
      <w:r>
        <w:rPr>
          <w:b/>
        </w:rPr>
        <w:t xml:space="preserve"> </w:t>
      </w:r>
      <w:r>
        <w:t>(Kyushu University, Japan</w:t>
      </w:r>
      <w:r w:rsidR="00AC7DBF">
        <w:t>)</w:t>
      </w:r>
    </w:p>
    <w:p w14:paraId="272AF2FE" w14:textId="77777777" w:rsidR="0048524B" w:rsidRDefault="0048524B">
      <w:pPr>
        <w:rPr>
          <w:i/>
        </w:rPr>
      </w:pPr>
      <w:r w:rsidRPr="002E1C1E">
        <w:rPr>
          <w:i/>
          <w:noProof/>
        </w:rPr>
        <w:t>Why Are Existentialist Always So Dark?</w:t>
      </w:r>
    </w:p>
    <w:p w14:paraId="35B8D4F0" w14:textId="77777777" w:rsidR="0048524B" w:rsidRDefault="0048524B" w:rsidP="00AC7DBF">
      <w:pPr>
        <w:rPr>
          <w:noProof/>
        </w:rPr>
      </w:pPr>
      <w:r>
        <w:rPr>
          <w:noProof/>
        </w:rPr>
        <w:t>We are confronted with difficulty when trying to explain what existentialism is because we cannot define it. However, we can mention Kierkegaard, Heidegger and Sartre when we think about existentialism and we find similarity in their philosophical ways. So, I want to try to express what existentialism is by using these similarities.</w:t>
      </w:r>
    </w:p>
    <w:p w14:paraId="0ECDCCCA" w14:textId="77777777" w:rsidR="0048524B" w:rsidRDefault="0048524B">
      <w:r>
        <w:rPr>
          <w:noProof/>
        </w:rPr>
        <w:lastRenderedPageBreak/>
        <w:t>To do this, I give some examples of the darkness of existentialism using the philosophers mentioned above. Then, I shall research the backgrounds of these examples, including historical backgrounds, the author’s world and, if possible, I also want to mention individual characteristics. I also refer to the preceding studies (if there are any) or reference information. Finally, I state my consideration.</w:t>
      </w:r>
    </w:p>
    <w:p w14:paraId="08360D72" w14:textId="77777777" w:rsidR="0048524B" w:rsidRDefault="0048524B"/>
    <w:p w14:paraId="1CAE7A66" w14:textId="6D095790" w:rsidR="0048524B" w:rsidRDefault="0048524B">
      <w:r w:rsidRPr="002E1C1E">
        <w:rPr>
          <w:b/>
          <w:noProof/>
        </w:rPr>
        <w:t>Raphael</w:t>
      </w:r>
      <w:r w:rsidRPr="008357DE">
        <w:rPr>
          <w:b/>
        </w:rPr>
        <w:t xml:space="preserve"> </w:t>
      </w:r>
      <w:r w:rsidRPr="002E1C1E">
        <w:rPr>
          <w:b/>
          <w:noProof/>
        </w:rPr>
        <w:t>Morris</w:t>
      </w:r>
      <w:r w:rsidRPr="008357DE">
        <w:rPr>
          <w:b/>
        </w:rPr>
        <w:t xml:space="preserve"> </w:t>
      </w:r>
      <w:r w:rsidRPr="002E1C1E">
        <w:rPr>
          <w:b/>
          <w:noProof/>
        </w:rPr>
        <w:t>and Madeleine Clark</w:t>
      </w:r>
      <w:r>
        <w:rPr>
          <w:b/>
        </w:rPr>
        <w:t xml:space="preserve"> </w:t>
      </w:r>
      <w:r w:rsidRPr="008357DE">
        <w:t>(</w:t>
      </w:r>
      <w:r>
        <w:rPr>
          <w:noProof/>
        </w:rPr>
        <w:t>Monash University Australia</w:t>
      </w:r>
      <w:r w:rsidR="00AC7DBF">
        <w:t>)</w:t>
      </w:r>
    </w:p>
    <w:p w14:paraId="6C9A666E" w14:textId="77777777" w:rsidR="0048524B" w:rsidRDefault="0048524B">
      <w:pPr>
        <w:rPr>
          <w:i/>
        </w:rPr>
      </w:pPr>
      <w:r w:rsidRPr="002E1C1E">
        <w:rPr>
          <w:i/>
          <w:noProof/>
        </w:rPr>
        <w:t>Matters of Taste: How language reflects aesthetic disagreement</w:t>
      </w:r>
    </w:p>
    <w:p w14:paraId="7A587FD2" w14:textId="77777777" w:rsidR="0048524B" w:rsidRDefault="0048524B">
      <w:r>
        <w:rPr>
          <w:noProof/>
        </w:rPr>
        <w:t>Is beauty entirely in the eye of the beholder? While most of us agree that taste is subjective, we still frequently feel like others ought to share our aesthetic preferences. Famed philosopher Immanuel Kant believed that all people share a ‘common sense’, or sensus communis. This ‘common sense’, according to Kant, gives us the cognitive tools to access objective, ‘pure’ judgements of taste. But if we do indeed share a ‘common sense’, how is it that aesthetic disagreement is so widespread as to make ‘taste’ a shorthand for subjectivity? Contemporary discussions in philosophy of language approach these kinds of disagreements by assuming that they stem from conflicting standards of taste. At first glance, this appears contrary to the Kantian picture. However, the two perspectives are entirely compatible, provided one maintains that two people cannot both have pure judgements of taste and disagree. In other words, aesthetic disagreement is only possible if the ‘common sense’ is obscured by their personal preferences. By applying a philosophy of language framework to problems within Kantian aesthetics, we can gain a stronger understanding of both philosophical sub-disciplines. Our research highlights the potential for further work combining these two fields and demonstrates the value of cross-disciplinary approaches to philosophy.</w:t>
      </w:r>
    </w:p>
    <w:p w14:paraId="302C90DA" w14:textId="77777777" w:rsidR="0048524B" w:rsidRDefault="0048524B"/>
    <w:p w14:paraId="0429F6F0" w14:textId="77777777" w:rsidR="00AC7DBF" w:rsidRDefault="00AC7DBF">
      <w:pPr>
        <w:rPr>
          <w:b/>
          <w:noProof/>
        </w:rPr>
      </w:pPr>
      <w:r>
        <w:rPr>
          <w:b/>
          <w:noProof/>
        </w:rPr>
        <w:br w:type="page"/>
      </w:r>
    </w:p>
    <w:p w14:paraId="7ECB517C" w14:textId="30BAF4AA" w:rsidR="00AC7DBF" w:rsidRPr="00AC7DBF" w:rsidRDefault="00AC7DBF" w:rsidP="00AC7DBF">
      <w:pPr>
        <w:pStyle w:val="Heading1"/>
        <w:rPr>
          <w:lang w:eastAsia="en-GB"/>
        </w:rPr>
      </w:pPr>
      <w:r w:rsidRPr="00AC7DBF">
        <w:lastRenderedPageBreak/>
        <w:t xml:space="preserve">Panel 4B: </w:t>
      </w:r>
      <w:r w:rsidRPr="00AC7DBF">
        <w:rPr>
          <w:lang w:eastAsia="en-GB"/>
        </w:rPr>
        <w:t>Childhood</w:t>
      </w:r>
    </w:p>
    <w:p w14:paraId="7D273C10" w14:textId="77777777" w:rsidR="00AC7DBF" w:rsidRDefault="00AC7DBF">
      <w:pPr>
        <w:rPr>
          <w:b/>
          <w:noProof/>
        </w:rPr>
      </w:pPr>
    </w:p>
    <w:p w14:paraId="38BDD4E3" w14:textId="589A1667" w:rsidR="0048524B" w:rsidRDefault="0048524B">
      <w:r w:rsidRPr="002E1C1E">
        <w:rPr>
          <w:b/>
          <w:noProof/>
        </w:rPr>
        <w:t>Hyun Jeong (Irene)</w:t>
      </w:r>
      <w:r w:rsidRPr="008357DE">
        <w:rPr>
          <w:b/>
        </w:rPr>
        <w:t xml:space="preserve"> </w:t>
      </w:r>
      <w:r w:rsidRPr="002E1C1E">
        <w:rPr>
          <w:b/>
          <w:noProof/>
        </w:rPr>
        <w:t>Park</w:t>
      </w:r>
      <w:r w:rsidRPr="008357DE">
        <w:rPr>
          <w:b/>
        </w:rPr>
        <w:t xml:space="preserve"> </w:t>
      </w:r>
      <w:r>
        <w:rPr>
          <w:b/>
        </w:rPr>
        <w:t xml:space="preserve"> </w:t>
      </w:r>
      <w:r w:rsidRPr="008357DE">
        <w:t>(</w:t>
      </w:r>
      <w:r>
        <w:rPr>
          <w:noProof/>
        </w:rPr>
        <w:t>Monash University Australia</w:t>
      </w:r>
      <w:r w:rsidR="00AC7DBF">
        <w:t>)</w:t>
      </w:r>
    </w:p>
    <w:p w14:paraId="659CCC33" w14:textId="77777777" w:rsidR="0048524B" w:rsidRDefault="0048524B">
      <w:pPr>
        <w:rPr>
          <w:i/>
        </w:rPr>
      </w:pPr>
      <w:r w:rsidRPr="002E1C1E">
        <w:rPr>
          <w:i/>
          <w:noProof/>
        </w:rPr>
        <w:t>‘Constructing the Reasonable Child’</w:t>
      </w:r>
    </w:p>
    <w:p w14:paraId="4B52A229" w14:textId="77777777" w:rsidR="0048524B" w:rsidRDefault="0048524B" w:rsidP="00AC7DBF">
      <w:pPr>
        <w:rPr>
          <w:noProof/>
        </w:rPr>
      </w:pPr>
      <w:r>
        <w:rPr>
          <w:noProof/>
        </w:rPr>
        <w:t>In the law of negligence, a ‘duty of care’ is a duty to take reasonable care to not cause reasonably foreseeable harm to another person. Deciding if a party has breached this duty involves considering if they have fallen short of the actions of a reasonable person.</w:t>
      </w:r>
    </w:p>
    <w:p w14:paraId="3C23CC5F" w14:textId="77777777" w:rsidR="0048524B" w:rsidRDefault="0048524B" w:rsidP="00AC7DBF">
      <w:pPr>
        <w:rPr>
          <w:noProof/>
        </w:rPr>
      </w:pPr>
      <w:r>
        <w:rPr>
          <w:noProof/>
        </w:rPr>
        <w:t>Under the seminal case of McHale v Watson in 1964, Australian courts were faced with ascertaining the standard of reasonable care expected from minors. In deciding whether the 12-year-old male defendant departed from his standard of care when he blinded the plaintiff, the male judges of the High Court, with no relevant authority to refer to, grappled with constructing a hypothetical reasonable child. The defendant’s actions were judged against the standard of a child of comparable age, and it was held that he did not depart from what was expected of a 12-year-old boy.</w:t>
      </w:r>
    </w:p>
    <w:p w14:paraId="44642B4F" w14:textId="77777777" w:rsidR="0048524B" w:rsidRDefault="0048524B" w:rsidP="00AC7DBF">
      <w:pPr>
        <w:rPr>
          <w:noProof/>
        </w:rPr>
      </w:pPr>
      <w:r>
        <w:rPr>
          <w:noProof/>
        </w:rPr>
        <w:t>My primary focus is in analysing the legal reasoning behind the decisions of the High Court. I touch on the rationale applied for differing judges, issues surrounding moral blameworthiness, and the court’s conception of ‘boyish impulse’.</w:t>
      </w:r>
    </w:p>
    <w:p w14:paraId="51DE4486" w14:textId="77777777" w:rsidR="0048524B" w:rsidRDefault="0048524B">
      <w:r>
        <w:rPr>
          <w:noProof/>
        </w:rPr>
        <w:t>McHale exemplifies how judges may rely on their own experiences of boyhood as a foundation for normality or reasonableness. While McHale illustrates the appreciation of the High Court of the need to introduce age when constructing a reasonable person, it does not provide a clear test for child negligence. Although its principles have been applied both in other judicial decisions and in statute, its relevance in our ever-evolving socio-political climate is questioned.</w:t>
      </w:r>
    </w:p>
    <w:p w14:paraId="56F7A5D1" w14:textId="77777777" w:rsidR="0048524B" w:rsidRDefault="0048524B"/>
    <w:p w14:paraId="75A1144C" w14:textId="6424A3E1" w:rsidR="0048524B" w:rsidRDefault="0048524B">
      <w:r w:rsidRPr="002E1C1E">
        <w:rPr>
          <w:b/>
          <w:noProof/>
        </w:rPr>
        <w:t>Kate</w:t>
      </w:r>
      <w:r w:rsidRPr="008357DE">
        <w:rPr>
          <w:b/>
        </w:rPr>
        <w:t xml:space="preserve"> </w:t>
      </w:r>
      <w:r w:rsidRPr="002E1C1E">
        <w:rPr>
          <w:b/>
          <w:noProof/>
        </w:rPr>
        <w:t>Rabel</w:t>
      </w:r>
      <w:r w:rsidRPr="008357DE">
        <w:rPr>
          <w:b/>
        </w:rPr>
        <w:t xml:space="preserve"> </w:t>
      </w:r>
      <w:r>
        <w:rPr>
          <w:b/>
        </w:rPr>
        <w:t xml:space="preserve"> </w:t>
      </w:r>
      <w:r w:rsidRPr="008357DE">
        <w:t>(</w:t>
      </w:r>
      <w:r>
        <w:rPr>
          <w:noProof/>
        </w:rPr>
        <w:t>Monash University Australia</w:t>
      </w:r>
      <w:r w:rsidR="00AC7DBF">
        <w:t>)</w:t>
      </w:r>
    </w:p>
    <w:p w14:paraId="3F948B7D" w14:textId="77777777" w:rsidR="0048524B" w:rsidRDefault="0048524B">
      <w:pPr>
        <w:rPr>
          <w:i/>
        </w:rPr>
      </w:pPr>
      <w:r w:rsidRPr="002E1C1E">
        <w:rPr>
          <w:i/>
          <w:noProof/>
        </w:rPr>
        <w:t>The Impact of the Presentation of Childbirth in Media Culture on Anxiety Regarding Giving Birth</w:t>
      </w:r>
    </w:p>
    <w:p w14:paraId="40B81932" w14:textId="77777777" w:rsidR="0048524B" w:rsidRDefault="0048524B" w:rsidP="00AC7DBF">
      <w:pPr>
        <w:rPr>
          <w:noProof/>
        </w:rPr>
      </w:pPr>
      <w:r>
        <w:rPr>
          <w:noProof/>
        </w:rPr>
        <w:t>There has been increasing interest in the viewing of television documentaries depicting the experience of childbirth such as One Born Every Minute and The Midwives. For many women, these documentaries are their only exposure to childbirth and are used for educational purposes. The dramatisation of childbirth and the possible impact on anxiety levels is a key public health concern. Many documentaries do not commence with a viewer warning or notify viewers of avenues for support at the conclusion of the programme.</w:t>
      </w:r>
    </w:p>
    <w:p w14:paraId="71AB6462" w14:textId="77777777" w:rsidR="0048524B" w:rsidRDefault="0048524B" w:rsidP="00AC7DBF">
      <w:pPr>
        <w:rPr>
          <w:noProof/>
        </w:rPr>
      </w:pPr>
      <w:r>
        <w:rPr>
          <w:noProof/>
        </w:rPr>
        <w:t>The aim of this study is to explore the impact of the portrayal of childbirth in media culture on anxiety regarding birth. A review will be conducted to examine current academic literature on the topic. Based on the findings of the review, subsequent analyses will involve interviews of midwives and women who have experienced childbirth.</w:t>
      </w:r>
    </w:p>
    <w:p w14:paraId="5736FFE8" w14:textId="77777777" w:rsidR="0048524B" w:rsidRDefault="0048524B" w:rsidP="00AC7DBF">
      <w:pPr>
        <w:rPr>
          <w:noProof/>
        </w:rPr>
      </w:pPr>
      <w:r>
        <w:rPr>
          <w:noProof/>
        </w:rPr>
        <w:t>As childbirth is an emotionally and biologically susceptible experience, it is hypothesised that, while seeking to depict the experience of birth, childbirth documentaries present content that is distressing, resulting in increased anxiety levels.</w:t>
      </w:r>
    </w:p>
    <w:p w14:paraId="74044E4E" w14:textId="77777777" w:rsidR="0048524B" w:rsidRDefault="0048524B">
      <w:r>
        <w:rPr>
          <w:noProof/>
        </w:rPr>
        <w:t xml:space="preserve">While it is essential that the community remains educated regarding the concept of childbirth, this should not be at the detriment of their mental wellbeing. It is vital viewers are warned of potentially </w:t>
      </w:r>
      <w:r>
        <w:rPr>
          <w:noProof/>
        </w:rPr>
        <w:lastRenderedPageBreak/>
        <w:t>distressing content prior to commencement of programmes and are provided with resources for support, in particular helplines or websites, at the programme’s conclusion.</w:t>
      </w:r>
    </w:p>
    <w:p w14:paraId="643CFD2C" w14:textId="77777777" w:rsidR="0048524B" w:rsidRDefault="0048524B"/>
    <w:p w14:paraId="12C95E20" w14:textId="34F836D3" w:rsidR="0048524B" w:rsidRDefault="0048524B">
      <w:r w:rsidRPr="002E1C1E">
        <w:rPr>
          <w:b/>
          <w:noProof/>
        </w:rPr>
        <w:t>Chloe Heng Jia Lin</w:t>
      </w:r>
      <w:r w:rsidRPr="008357DE">
        <w:rPr>
          <w:b/>
        </w:rPr>
        <w:t xml:space="preserve">  </w:t>
      </w:r>
      <w:r>
        <w:rPr>
          <w:b/>
        </w:rPr>
        <w:t xml:space="preserve"> </w:t>
      </w:r>
      <w:r w:rsidRPr="008357DE">
        <w:t>(</w:t>
      </w:r>
      <w:r>
        <w:rPr>
          <w:noProof/>
        </w:rPr>
        <w:t>NTU</w:t>
      </w:r>
      <w:r w:rsidR="00AC7DBF">
        <w:t>)</w:t>
      </w:r>
    </w:p>
    <w:p w14:paraId="522C9CA2" w14:textId="77777777" w:rsidR="0048524B" w:rsidRDefault="0048524B">
      <w:pPr>
        <w:rPr>
          <w:i/>
        </w:rPr>
      </w:pPr>
      <w:r w:rsidRPr="002E1C1E">
        <w:rPr>
          <w:i/>
          <w:noProof/>
        </w:rPr>
        <w:t>Impact of Family Capital on Parents’ Ability to Translate Beliefs to Practices</w:t>
      </w:r>
    </w:p>
    <w:p w14:paraId="1481D6BC" w14:textId="77777777" w:rsidR="0048524B" w:rsidRDefault="0048524B">
      <w:r>
        <w:rPr>
          <w:noProof/>
        </w:rPr>
        <w:t>Working in the research tradition of diversity and parenting, this paper explores the accounts of parents and children, showing how the beliefs of three parents from differing socio-economic backgrounds influence their parenting styles. Children’s perceptions of their parents’ practices are also examined. A case study approach was adopted because it allows for rich description, exploration of variables and comparisons among cases. Parent and child pairs provided data in separate interviews. Coding of the data revealed three key themes among the parents – beliefs about family, authority and the child. The fine-grained comparisons within these three themes revealed nuances in the parents’ beliefs and thus, parenting styles. While there were notable and suggestive differences among the cases, these could not be directly attributed to the socio-economic status of the families in such a small study. However, parents with social and economic capital provided educational activities for their children’s development. Interestingly, the analyses gave insight into tensions between parents and children when children perceived parenting styles to be constraining, particularly in the area of education.</w:t>
      </w:r>
    </w:p>
    <w:p w14:paraId="5417A2A4" w14:textId="77777777" w:rsidR="0048524B" w:rsidRDefault="0048524B"/>
    <w:p w14:paraId="29C75E32" w14:textId="356A4ADA" w:rsidR="0048524B" w:rsidRDefault="0048524B">
      <w:r w:rsidRPr="002E1C1E">
        <w:rPr>
          <w:b/>
          <w:noProof/>
        </w:rPr>
        <w:t>Chua Jin Yi</w:t>
      </w:r>
      <w:r w:rsidRPr="008357DE">
        <w:rPr>
          <w:b/>
        </w:rPr>
        <w:t xml:space="preserve">  </w:t>
      </w:r>
      <w:r>
        <w:rPr>
          <w:b/>
        </w:rPr>
        <w:t xml:space="preserve"> </w:t>
      </w:r>
      <w:r w:rsidRPr="008357DE">
        <w:t>(</w:t>
      </w:r>
      <w:r>
        <w:rPr>
          <w:noProof/>
        </w:rPr>
        <w:t>NTU</w:t>
      </w:r>
      <w:r w:rsidR="00AC7DBF">
        <w:t>)</w:t>
      </w:r>
    </w:p>
    <w:p w14:paraId="60757E3A" w14:textId="77777777" w:rsidR="0048524B" w:rsidRDefault="0048524B">
      <w:pPr>
        <w:rPr>
          <w:i/>
        </w:rPr>
      </w:pPr>
      <w:r w:rsidRPr="002E1C1E">
        <w:rPr>
          <w:i/>
          <w:noProof/>
        </w:rPr>
        <w:t>Parental Illness from a Child’s Perspective: An exploratory study in Singapore</w:t>
      </w:r>
    </w:p>
    <w:p w14:paraId="16785DA6" w14:textId="77777777" w:rsidR="0048524B" w:rsidRDefault="0048524B">
      <w:r>
        <w:rPr>
          <w:noProof/>
        </w:rPr>
        <w:t>The issue of parental illness is discussed in this paper by tracing the lived experiences of two young adults aged 23 whose parents were diagnosed with End-Stage Renal Disease and are undergoing haemodialysis treatment. Firstly, the psychosocial struggles faced, coping mechanisms adopted and family dynamics of these young adults, in addition to their hopes and fears, are examined through extended case studies, right from the onset of diagnosis and throughout the years of living with parental illness. Secondly, this paper seeks to improve on the current family ecology framework by pointing out certain factors that mediate how parental illness impacts the family and youth. In particular, it was observed that the way parents and other family members reacted to the diagnosis played a crucial role in mediating how children interpreted their situations, which consequently affected the latter’s wellbeing. An improved framework leveraging on these observations will aid care providers in administering assistance to children and youth coping with parental illness. Despite a few limitations, it is also argued that the use of narratives, under certain caveats, can potentially reduce research bias and facilitate research that is beneficial to its participants.</w:t>
      </w:r>
    </w:p>
    <w:p w14:paraId="22AD7655" w14:textId="77777777" w:rsidR="0048524B" w:rsidRDefault="0048524B"/>
    <w:p w14:paraId="328E5AD2" w14:textId="77777777" w:rsidR="00AC7DBF" w:rsidRDefault="00AC7DBF">
      <w:pPr>
        <w:rPr>
          <w:b/>
          <w:noProof/>
        </w:rPr>
      </w:pPr>
      <w:r>
        <w:rPr>
          <w:b/>
          <w:noProof/>
        </w:rPr>
        <w:br w:type="page"/>
      </w:r>
    </w:p>
    <w:p w14:paraId="7E26BC50" w14:textId="08FE2A4B" w:rsidR="00AC7DBF" w:rsidRPr="00AC7DBF" w:rsidRDefault="00AC7DBF" w:rsidP="00AC7DBF">
      <w:pPr>
        <w:pStyle w:val="Heading1"/>
        <w:rPr>
          <w:lang w:eastAsia="en-GB"/>
        </w:rPr>
      </w:pPr>
      <w:r w:rsidRPr="00AC7DBF">
        <w:lastRenderedPageBreak/>
        <w:t xml:space="preserve">Panel 4C: </w:t>
      </w:r>
      <w:r w:rsidRPr="00AC7DBF">
        <w:rPr>
          <w:lang w:eastAsia="en-GB"/>
        </w:rPr>
        <w:t>Dysfunction of the Brain</w:t>
      </w:r>
    </w:p>
    <w:p w14:paraId="0A36FE74" w14:textId="77777777" w:rsidR="00AC7DBF" w:rsidRDefault="00AC7DBF">
      <w:pPr>
        <w:rPr>
          <w:b/>
          <w:noProof/>
        </w:rPr>
      </w:pPr>
    </w:p>
    <w:p w14:paraId="73A16A3A" w14:textId="0C879236" w:rsidR="0048524B" w:rsidRDefault="0048524B">
      <w:r w:rsidRPr="002E1C1E">
        <w:rPr>
          <w:b/>
          <w:noProof/>
        </w:rPr>
        <w:t>Jona</w:t>
      </w:r>
      <w:r w:rsidRPr="008357DE">
        <w:rPr>
          <w:b/>
        </w:rPr>
        <w:t xml:space="preserve"> </w:t>
      </w:r>
      <w:r w:rsidRPr="002E1C1E">
        <w:rPr>
          <w:b/>
          <w:noProof/>
        </w:rPr>
        <w:t>Mustafovska</w:t>
      </w:r>
      <w:r w:rsidRPr="008357DE">
        <w:rPr>
          <w:b/>
        </w:rPr>
        <w:t xml:space="preserve"> </w:t>
      </w:r>
      <w:r>
        <w:rPr>
          <w:b/>
        </w:rPr>
        <w:t xml:space="preserve"> </w:t>
      </w:r>
      <w:r w:rsidRPr="008357DE">
        <w:t>(</w:t>
      </w:r>
      <w:r>
        <w:rPr>
          <w:noProof/>
        </w:rPr>
        <w:t>Monash University Australia</w:t>
      </w:r>
      <w:r w:rsidR="00AC7DBF">
        <w:t>)</w:t>
      </w:r>
    </w:p>
    <w:p w14:paraId="12751AA0" w14:textId="77777777" w:rsidR="0048524B" w:rsidRDefault="0048524B">
      <w:pPr>
        <w:rPr>
          <w:i/>
        </w:rPr>
      </w:pPr>
      <w:r w:rsidRPr="002E1C1E">
        <w:rPr>
          <w:i/>
          <w:noProof/>
        </w:rPr>
        <w:t>Influence of Light Therapy on Sundowning in the Alzheimer’s Population</w:t>
      </w:r>
    </w:p>
    <w:p w14:paraId="318B20CD" w14:textId="77777777" w:rsidR="0048524B" w:rsidRDefault="0048524B">
      <w:r>
        <w:rPr>
          <w:noProof/>
        </w:rPr>
        <w:t>Sundown Syndrome is a bleak reality of Alzheimer’s disease, characterising the neurological disorder with confusion, aggression and apprehension during the evening. Research has recently found that in mice, the aggression feature of sundowning is related to the neurological pathway in circadian rhythms; the biological processes that alternate in a 24-hour pattern. Given that circadian rhythms are regulated by light exposure, this study aims to explore the possibility of using light therapy to improve sundowning in humans. Patients with Alzheimer’s disease (n=60) will be pre-tested to record their levels of anxiety, agitation and aggression, and post-tested after light therapy on the same domains. This light therapy will involve exposure to multiple light conditions (200 lux, 400 lux and 2000 lux) in the afternoon and the blockage of blue light. A paired t-test will be used to examine the differences in scores across all domains of sundowning before and after treatment. It is hypothesised that levels of agitation, aggression and anxiety will reduce in intensity after exposure to the light therapy. While agitation and aggression will be measured through the Neuropsychiatric Inventory (NPI), anxiety will be measured using the Rating Anxiety in Dementia (RAID) scale. This research is essential in examining the effects of light as a means of therapy to sundowning, which is known to be the main reason for institutionalisation in this population.</w:t>
      </w:r>
    </w:p>
    <w:p w14:paraId="4176268C" w14:textId="77777777" w:rsidR="0048524B" w:rsidRDefault="0048524B"/>
    <w:p w14:paraId="6CB1AD09" w14:textId="65742EF0" w:rsidR="0048524B" w:rsidRDefault="0048524B">
      <w:r w:rsidRPr="002E1C1E">
        <w:rPr>
          <w:b/>
          <w:noProof/>
        </w:rPr>
        <w:t>Amy</w:t>
      </w:r>
      <w:r w:rsidRPr="008357DE">
        <w:rPr>
          <w:b/>
        </w:rPr>
        <w:t xml:space="preserve"> </w:t>
      </w:r>
      <w:r w:rsidRPr="002E1C1E">
        <w:rPr>
          <w:b/>
          <w:noProof/>
        </w:rPr>
        <w:t>Gallichio</w:t>
      </w:r>
      <w:r w:rsidRPr="008357DE">
        <w:rPr>
          <w:b/>
        </w:rPr>
        <w:t xml:space="preserve"> </w:t>
      </w:r>
      <w:r>
        <w:rPr>
          <w:b/>
        </w:rPr>
        <w:t xml:space="preserve"> </w:t>
      </w:r>
      <w:r w:rsidRPr="008357DE">
        <w:t>(</w:t>
      </w:r>
      <w:r>
        <w:rPr>
          <w:noProof/>
        </w:rPr>
        <w:t>Monash University Australia</w:t>
      </w:r>
      <w:r w:rsidR="00AC7DBF">
        <w:t>)</w:t>
      </w:r>
    </w:p>
    <w:p w14:paraId="77482CD9" w14:textId="77777777" w:rsidR="0048524B" w:rsidRDefault="0048524B">
      <w:pPr>
        <w:rPr>
          <w:i/>
        </w:rPr>
      </w:pPr>
      <w:r w:rsidRPr="002E1C1E">
        <w:rPr>
          <w:i/>
          <w:noProof/>
        </w:rPr>
        <w:t>Implementing Brain–Computer Interfaces in Clinical Diagnosis and Treatment of Drug-Resistant Epilepsy</w:t>
      </w:r>
    </w:p>
    <w:p w14:paraId="26ED8755" w14:textId="77777777" w:rsidR="0048524B" w:rsidRDefault="0048524B" w:rsidP="00AC7DBF">
      <w:pPr>
        <w:rPr>
          <w:noProof/>
        </w:rPr>
      </w:pPr>
      <w:r>
        <w:rPr>
          <w:noProof/>
        </w:rPr>
        <w:t>Epilepsy is a neurological disorder that affects approximately 0.5–1 per cent of the world’s population. Causing seizures as a result of abnormal and excessive discharges of neurons, epilepsy is primarily diagnosed through observations by medical specialists and the use of electroencephalography. The primary objective of epilepsy treatment is reducing the frequency and severity of seizures in order to improve the wellbeing of individuals living with this disorder.</w:t>
      </w:r>
    </w:p>
    <w:p w14:paraId="016D7D28" w14:textId="77777777" w:rsidR="0048524B" w:rsidRDefault="0048524B" w:rsidP="00AC7DBF">
      <w:pPr>
        <w:rPr>
          <w:noProof/>
        </w:rPr>
      </w:pPr>
      <w:r>
        <w:rPr>
          <w:noProof/>
        </w:rPr>
        <w:t>Historically, anti-epileptic medications have been prescribed to control, reduce and eliminate seizures. However, it has been estimated that 25 per cent of patients with epilepsy suffer from drug-resistance. As such, researchers have investigated other avenues of seizure management. With the advancement of brain–computer interfaces (BCI), responsive neurostimulation permits an intuitive brain–computer feedback loop in which seizures are recognised and controlled. This technology is currently transforming the way in which drug-resistant epilepsy is treated.</w:t>
      </w:r>
    </w:p>
    <w:p w14:paraId="606720A0" w14:textId="77777777" w:rsidR="0048524B" w:rsidRDefault="0048524B">
      <w:r>
        <w:rPr>
          <w:noProof/>
        </w:rPr>
        <w:t>Focused on developing and integrating the fundamental components of a BCI for the clinical diagnosis and treatment of drug-resistant epilepsy, I reviewed current research in this area. Analysing the efficacy of various diagnostic tools and treatments, I examined their value in the BCI framework. Ultimately, I identified that neuroimaging, seizure monitoring, classification, neutralisation and prediction compose the key elements of such a BCI. While prevention systems are at present underdeveloped, it is clear that this will be a key area in future research. I conclude that while no single BCI will be the solution, the construction of a modifiable BCI framework will allow for broad application when treating drug-resistant epilepsy.</w:t>
      </w:r>
    </w:p>
    <w:p w14:paraId="24D84CB6" w14:textId="7D0911AD" w:rsidR="0048524B" w:rsidRDefault="0048524B">
      <w:r w:rsidRPr="002E1C1E">
        <w:rPr>
          <w:b/>
          <w:noProof/>
        </w:rPr>
        <w:lastRenderedPageBreak/>
        <w:t>Md. Inzamum Sayeef</w:t>
      </w:r>
      <w:r w:rsidRPr="008357DE">
        <w:rPr>
          <w:b/>
        </w:rPr>
        <w:t xml:space="preserve"> </w:t>
      </w:r>
      <w:r w:rsidRPr="002E1C1E">
        <w:rPr>
          <w:b/>
          <w:noProof/>
        </w:rPr>
        <w:t>Ul Islam</w:t>
      </w:r>
      <w:r w:rsidRPr="008357DE">
        <w:rPr>
          <w:b/>
        </w:rPr>
        <w:t xml:space="preserve"> </w:t>
      </w:r>
      <w:r w:rsidRPr="002E1C1E">
        <w:rPr>
          <w:b/>
          <w:noProof/>
        </w:rPr>
        <w:t>and Dhipashri Thiagarajan</w:t>
      </w:r>
      <w:r>
        <w:rPr>
          <w:b/>
        </w:rPr>
        <w:t xml:space="preserve"> </w:t>
      </w:r>
      <w:r w:rsidRPr="008357DE">
        <w:t>(</w:t>
      </w:r>
      <w:r>
        <w:rPr>
          <w:noProof/>
        </w:rPr>
        <w:t>Monash University Malaysia</w:t>
      </w:r>
      <w:r w:rsidR="00AC7DBF">
        <w:t>)</w:t>
      </w:r>
    </w:p>
    <w:p w14:paraId="19039E23" w14:textId="77777777" w:rsidR="0048524B" w:rsidRDefault="0048524B">
      <w:pPr>
        <w:rPr>
          <w:i/>
        </w:rPr>
      </w:pPr>
      <w:r w:rsidRPr="002E1C1E">
        <w:rPr>
          <w:i/>
          <w:noProof/>
        </w:rPr>
        <w:t>Depression, Anxiety and Stress (DAS) Among Patients with Idiopathic Parkinson’s Disease (IPD) and their Quality of Life – A cross-sectional study in one centre of Johor State, Malaysia</w:t>
      </w:r>
    </w:p>
    <w:p w14:paraId="3AD66B26" w14:textId="77777777" w:rsidR="0048524B" w:rsidRDefault="0048524B">
      <w:r>
        <w:rPr>
          <w:noProof/>
        </w:rPr>
        <w:t>Idiopathic Parkinson’s Disease (IPD) is a neurological disease caused by imbalanced chemicals in the brain that affects movement, causing slowness in initiating movement, shaky hands, postural imbalance, abnormal walking pattern and muscle rigidity. It is a concern due to its increasing prevalence in younger patients, resulting in premature retirement and earning loss, eventually adding burden to the caregivers and healthcare resources. As well as the affected movement, depression, anxiety and stress (DAS) have also been found to be associated with poor quality of life (QoL) of IPD patients in several studies. In Malaysia, the prevalence of DAS among IPD patients is not well established or recognised, and there is no statistical evidence of mental healthcare as part of proper management of IPD. We aim to determine the prevalence of DAS and its correlation to stages of IPD and its impact on QoL of IPD patients. This will be a cross-sectional study conducted in neurology clinic of Sultanah Aminah Hospital, Johor. A target sample of 200 patients who meet the inclusion criteria will be recruited and informed consent will be required. The tools used to interview the patients are DASS-21 scale to determine prevalence of DAS and Parkinson Disease, and Questionnaire-8 to assess the QoL. Through this study, we aim to increase doctors’ awareness of recognising DAS symptoms and involvement of the mental health service earlier in the disease, leading to improvement of QoL of IPD patients and reducing the burden of care.</w:t>
      </w:r>
    </w:p>
    <w:p w14:paraId="4ED960C1" w14:textId="77777777" w:rsidR="0048524B" w:rsidRDefault="0048524B"/>
    <w:p w14:paraId="04619EB0" w14:textId="48D05BB7" w:rsidR="0048524B" w:rsidRDefault="0048524B">
      <w:r w:rsidRPr="002E1C1E">
        <w:rPr>
          <w:b/>
          <w:noProof/>
        </w:rPr>
        <w:t>Yii Chian</w:t>
      </w:r>
      <w:r w:rsidRPr="008357DE">
        <w:rPr>
          <w:b/>
        </w:rPr>
        <w:t xml:space="preserve"> </w:t>
      </w:r>
      <w:r w:rsidRPr="002E1C1E">
        <w:rPr>
          <w:b/>
          <w:noProof/>
        </w:rPr>
        <w:t>Ngui</w:t>
      </w:r>
      <w:r w:rsidRPr="008357DE">
        <w:rPr>
          <w:b/>
        </w:rPr>
        <w:t xml:space="preserve"> </w:t>
      </w:r>
      <w:r w:rsidRPr="002E1C1E">
        <w:rPr>
          <w:b/>
          <w:noProof/>
        </w:rPr>
        <w:t>and Amanda Chi Yan Tan</w:t>
      </w:r>
      <w:r>
        <w:rPr>
          <w:b/>
        </w:rPr>
        <w:t xml:space="preserve"> </w:t>
      </w:r>
      <w:r w:rsidRPr="008357DE">
        <w:t>(</w:t>
      </w:r>
      <w:r>
        <w:rPr>
          <w:noProof/>
        </w:rPr>
        <w:t>Monash University Malaysia</w:t>
      </w:r>
      <w:r w:rsidR="00AC7DBF">
        <w:t>)</w:t>
      </w:r>
    </w:p>
    <w:p w14:paraId="30117FDC" w14:textId="77777777" w:rsidR="0048524B" w:rsidRDefault="0048524B">
      <w:pPr>
        <w:rPr>
          <w:i/>
        </w:rPr>
      </w:pPr>
      <w:r w:rsidRPr="002E1C1E">
        <w:rPr>
          <w:i/>
          <w:noProof/>
        </w:rPr>
        <w:t>Symptoms at First Contact as Predictors of Evolution Towards Schizophrenia in Patients with Schizophreniform Disorder</w:t>
      </w:r>
    </w:p>
    <w:p w14:paraId="2A62DE0F" w14:textId="77777777" w:rsidR="0048524B" w:rsidRDefault="0048524B" w:rsidP="00AC7DBF">
      <w:pPr>
        <w:rPr>
          <w:noProof/>
        </w:rPr>
      </w:pPr>
      <w:r>
        <w:rPr>
          <w:noProof/>
        </w:rPr>
        <w:t>Schizophreniform disorder presents with schizophrenia-like symptoms longer than one month but fewer than six months. One-third of patients are known to remit fully by six months while the remaining two-thirds progress to schizophrenia. Factors predicting full remission include an acute onset of psychotic symptoms, the presence of confusion, good pre-morbid functioning and the absence of blunted affect. Other clinical features leading to the progression into schizophrenia are not understood.</w:t>
      </w:r>
    </w:p>
    <w:p w14:paraId="2DEDB5B3" w14:textId="77777777" w:rsidR="0048524B" w:rsidRDefault="0048524B" w:rsidP="00AC7DBF">
      <w:pPr>
        <w:rPr>
          <w:noProof/>
        </w:rPr>
      </w:pPr>
      <w:r>
        <w:rPr>
          <w:noProof/>
        </w:rPr>
        <w:t>Objective: To identify the prognostic value of specific symptoms at first psychiatric contact in predicting the progression of schizophreniform disorder to schizophrenia.</w:t>
      </w:r>
    </w:p>
    <w:p w14:paraId="13605C1D" w14:textId="77777777" w:rsidR="0048524B" w:rsidRDefault="0048524B" w:rsidP="00AC7DBF">
      <w:pPr>
        <w:rPr>
          <w:noProof/>
        </w:rPr>
      </w:pPr>
      <w:r>
        <w:rPr>
          <w:noProof/>
        </w:rPr>
        <w:t>Proposed Methodology: This is a retrospective study to be conducted at the Psychiatric Clinic of Hospital Sultanah Aminah, Johor Bahru, Malaysia. A random selection of patients with a diagnosis of schizophreniform disorder at first contact, from January 2010 to December 2016, will be included in the study. The selected patients will be categorised into two arms: (1) Patients with full remission by 6 months who retain the status by 24 months, and (2) Patients who progress to schizophrenia. Patient information obtained will be compared between both arms, utilising: (1) clinical-symptom checklist derived from the Positive and Negative Symptoms Scale, and (2) Patient socio-demographic questionnaire.</w:t>
      </w:r>
    </w:p>
    <w:p w14:paraId="72BA6DF8" w14:textId="77777777" w:rsidR="0048524B" w:rsidRDefault="0048524B" w:rsidP="00AC7DBF">
      <w:pPr>
        <w:rPr>
          <w:noProof/>
        </w:rPr>
      </w:pPr>
      <w:r>
        <w:rPr>
          <w:noProof/>
        </w:rPr>
        <w:t>Expected outcome: Progression from schizophreniform disorder to schizophrenia could be predicted by specific clinical symptoms present at first contact.</w:t>
      </w:r>
    </w:p>
    <w:p w14:paraId="7519AE17" w14:textId="77777777" w:rsidR="0048524B" w:rsidRDefault="0048524B">
      <w:r>
        <w:rPr>
          <w:noProof/>
        </w:rPr>
        <w:lastRenderedPageBreak/>
        <w:t>Clinical significance: Identifying predictive clinical symptoms will help clinicians distinguish patients at risk of evolving into schizophrenia. Close monitoring and specific interventional programmes implemented for these patients could ensure a better diagnostic outcome.</w:t>
      </w:r>
    </w:p>
    <w:p w14:paraId="753890E1" w14:textId="77777777" w:rsidR="0048524B" w:rsidRDefault="0048524B"/>
    <w:p w14:paraId="7E9C1139" w14:textId="77777777" w:rsidR="00AC7DBF" w:rsidRDefault="00AC7DBF">
      <w:pPr>
        <w:rPr>
          <w:b/>
          <w:noProof/>
        </w:rPr>
      </w:pPr>
      <w:r>
        <w:rPr>
          <w:b/>
          <w:noProof/>
        </w:rPr>
        <w:br w:type="page"/>
      </w:r>
    </w:p>
    <w:p w14:paraId="7192DA0C" w14:textId="342D878D" w:rsidR="00AC7DBF" w:rsidRDefault="00AC7DBF" w:rsidP="00AC7DBF">
      <w:pPr>
        <w:pStyle w:val="Heading1"/>
      </w:pPr>
      <w:r>
        <w:lastRenderedPageBreak/>
        <w:t xml:space="preserve">Panel 5A: </w:t>
      </w:r>
      <w:r w:rsidRPr="00AC7DBF">
        <w:t>Social Media</w:t>
      </w:r>
    </w:p>
    <w:p w14:paraId="51B5EC5C" w14:textId="77777777" w:rsidR="00AC7DBF" w:rsidRPr="00AC7DBF" w:rsidRDefault="00AC7DBF" w:rsidP="00AC7DBF"/>
    <w:p w14:paraId="161AF091" w14:textId="775274AA" w:rsidR="0048524B" w:rsidRDefault="0048524B">
      <w:r w:rsidRPr="002E1C1E">
        <w:rPr>
          <w:b/>
          <w:noProof/>
        </w:rPr>
        <w:t>Jin</w:t>
      </w:r>
      <w:r w:rsidRPr="008357DE">
        <w:rPr>
          <w:b/>
        </w:rPr>
        <w:t xml:space="preserve"> </w:t>
      </w:r>
      <w:r w:rsidRPr="002E1C1E">
        <w:rPr>
          <w:b/>
          <w:noProof/>
        </w:rPr>
        <w:t>Tanaka</w:t>
      </w:r>
      <w:r w:rsidRPr="008357DE">
        <w:rPr>
          <w:b/>
        </w:rPr>
        <w:t xml:space="preserve"> </w:t>
      </w:r>
      <w:r>
        <w:rPr>
          <w:b/>
        </w:rPr>
        <w:t xml:space="preserve"> </w:t>
      </w:r>
      <w:r>
        <w:t>(Kyushu University, Japan</w:t>
      </w:r>
      <w:r w:rsidR="00AC7DBF">
        <w:t>)</w:t>
      </w:r>
    </w:p>
    <w:p w14:paraId="228BA2A6" w14:textId="77777777" w:rsidR="0048524B" w:rsidRDefault="0048524B">
      <w:pPr>
        <w:rPr>
          <w:i/>
        </w:rPr>
      </w:pPr>
      <w:r w:rsidRPr="002E1C1E">
        <w:rPr>
          <w:i/>
          <w:noProof/>
        </w:rPr>
        <w:t>A Scientist is a Person who has Forgotten Poetry, Who Has Lost Poetry. Once Poetry has Been Lost Like That, I’m Afraid it Won’t Return to the World of Science</w:t>
      </w:r>
    </w:p>
    <w:p w14:paraId="61EB8814" w14:textId="77777777" w:rsidR="0048524B" w:rsidRDefault="0048524B">
      <w:r>
        <w:rPr>
          <w:noProof/>
        </w:rPr>
        <w:t>Researchers are asked to communicate their scientific findings not only in papers but also in relation to the humanities, liberal arts and daily experiences. Scientific communication should be understood not only by scientists but also by the public to gain sympathy and support for the research. Both social and natural sciences are cultures that connect people to each other and open communication possibilities. Therefore, a social communication platform can create a new scientific culture by promoting collaboration between social sciences and natural sciences. It also leads to the creation of new social activities with respect to complex problems. In this presentation, I will discuss the design and approach of a social communication platform that intersects the social and natural sciences, as well as the procedures for a standard method of the communication platform based on social activities through thesis poetry, readings, presentations and mutual discussion in public spaces in universities and libraries to open everyone. We also mention which procedures of creating the standard method of ‘communication platforms’ are most effective for every age group by using questionnaires regarding degree of interest and understanding. It is believed that ‘communication platforms’ may become a tool for scientific communication among all participants. Therefore, the ‘communication platform’ as a communication method is considered to help the public to form and improve scientific literacy.</w:t>
      </w:r>
    </w:p>
    <w:p w14:paraId="23D055F0" w14:textId="77777777" w:rsidR="0048524B" w:rsidRDefault="0048524B"/>
    <w:p w14:paraId="0A7D9688" w14:textId="75D13EF0" w:rsidR="0048524B" w:rsidRDefault="0048524B">
      <w:r w:rsidRPr="002E1C1E">
        <w:rPr>
          <w:b/>
          <w:noProof/>
        </w:rPr>
        <w:t>Kozuma</w:t>
      </w:r>
      <w:r w:rsidRPr="008357DE">
        <w:rPr>
          <w:b/>
        </w:rPr>
        <w:t xml:space="preserve"> </w:t>
      </w:r>
      <w:r w:rsidRPr="002E1C1E">
        <w:rPr>
          <w:b/>
          <w:noProof/>
        </w:rPr>
        <w:t>Mao</w:t>
      </w:r>
      <w:r w:rsidRPr="008357DE">
        <w:rPr>
          <w:b/>
        </w:rPr>
        <w:t xml:space="preserve"> </w:t>
      </w:r>
      <w:r>
        <w:rPr>
          <w:b/>
        </w:rPr>
        <w:t xml:space="preserve"> </w:t>
      </w:r>
      <w:r>
        <w:t>(Kyushu University, Japan</w:t>
      </w:r>
      <w:r w:rsidR="00AC7DBF">
        <w:t>)</w:t>
      </w:r>
    </w:p>
    <w:p w14:paraId="0F0497AE" w14:textId="77777777" w:rsidR="0048524B" w:rsidRDefault="0048524B">
      <w:pPr>
        <w:rPr>
          <w:i/>
        </w:rPr>
      </w:pPr>
      <w:r w:rsidRPr="002E1C1E">
        <w:rPr>
          <w:i/>
          <w:noProof/>
        </w:rPr>
        <w:t>Interpretation of Personality Switching on SNS From a Viewpoint of Cultural Self-Construal</w:t>
      </w:r>
    </w:p>
    <w:p w14:paraId="3E3BB17F" w14:textId="77777777" w:rsidR="0048524B" w:rsidRDefault="0048524B">
      <w:r>
        <w:rPr>
          <w:noProof/>
        </w:rPr>
        <w:t>Do you have a specific character on SNS (Social Networking Services) like Facebook or Twitter? According to a preliminary survey, more than 60 per cent of young Japanese people are using multiple accounts on SNS and adjusting their posts according to each account. This phenomenon of multiple accounts in one kind of SNS suggests that users are switching or playing their own personalities for their followers on their account. Switching or playing the personality according to the followers’ environment queries what defines self when considering relationships with others. Such a self-construal is called an interdependent self-construal in cultural psychology. Interdependent self-construal is one of many cultural self-construals that suggest that human cognitive functions depend on culture. It is inferred that groups with a strong degree of switching or playing personal on SNS have interdependent self-construal, whereas those in the reverse position have independent self-construal – where the self is seen as a unique individual. It is necessary to measure each behaviour on SNS because of the usage of SNS varies from person to person. Therefore, in this study, the hypothesis is to explain individual differences in items related to switching or playing by measuring SNS behaviour and cultural self-construal using Psychological Measure. The result of this study will be a big step in understanding the fundamentals of the phenomenon and the mechanism supporting the function: the self.</w:t>
      </w:r>
    </w:p>
    <w:p w14:paraId="13153353" w14:textId="77777777" w:rsidR="0048524B" w:rsidRDefault="0048524B"/>
    <w:p w14:paraId="45EDC14B" w14:textId="77777777" w:rsidR="00AC7DBF" w:rsidRDefault="00AC7DBF">
      <w:pPr>
        <w:rPr>
          <w:b/>
          <w:noProof/>
        </w:rPr>
      </w:pPr>
      <w:r>
        <w:rPr>
          <w:b/>
          <w:noProof/>
        </w:rPr>
        <w:br w:type="page"/>
      </w:r>
    </w:p>
    <w:p w14:paraId="2F5EB6FE" w14:textId="3152860F" w:rsidR="0048524B" w:rsidRDefault="0048524B">
      <w:r w:rsidRPr="002E1C1E">
        <w:rPr>
          <w:b/>
          <w:noProof/>
        </w:rPr>
        <w:lastRenderedPageBreak/>
        <w:t>Elaine</w:t>
      </w:r>
      <w:r w:rsidRPr="008357DE">
        <w:rPr>
          <w:b/>
        </w:rPr>
        <w:t xml:space="preserve"> </w:t>
      </w:r>
      <w:r w:rsidRPr="002E1C1E">
        <w:rPr>
          <w:b/>
          <w:noProof/>
        </w:rPr>
        <w:t>Phoon</w:t>
      </w:r>
      <w:r w:rsidRPr="008357DE">
        <w:rPr>
          <w:b/>
        </w:rPr>
        <w:t xml:space="preserve"> </w:t>
      </w:r>
      <w:r>
        <w:rPr>
          <w:b/>
        </w:rPr>
        <w:t xml:space="preserve"> </w:t>
      </w:r>
      <w:r w:rsidRPr="008357DE">
        <w:t>(</w:t>
      </w:r>
      <w:r>
        <w:rPr>
          <w:noProof/>
        </w:rPr>
        <w:t>Monash University Australia</w:t>
      </w:r>
      <w:r w:rsidR="00AC7DBF">
        <w:t>)</w:t>
      </w:r>
    </w:p>
    <w:p w14:paraId="5F9EFED2" w14:textId="77777777" w:rsidR="0048524B" w:rsidRDefault="0048524B">
      <w:pPr>
        <w:rPr>
          <w:i/>
        </w:rPr>
      </w:pPr>
      <w:r w:rsidRPr="002E1C1E">
        <w:rPr>
          <w:i/>
          <w:noProof/>
        </w:rPr>
        <w:t>#justice: Impartiality of the Australian judiciary in the age of social media</w:t>
      </w:r>
    </w:p>
    <w:p w14:paraId="71A2A23E" w14:textId="77777777" w:rsidR="0048524B" w:rsidRDefault="0048524B" w:rsidP="00AC7DBF">
      <w:pPr>
        <w:rPr>
          <w:noProof/>
        </w:rPr>
      </w:pPr>
      <w:r>
        <w:rPr>
          <w:noProof/>
        </w:rPr>
        <w:t>The increasing engagement of Australian courts with social media for community engagement and administrative purposes has given a new context for judicial independence and a court’s ability to objectively arbitrate the merits of arguments presented before them. While the Federal Court of Australia has not yet established a social media presence, it has expressed interest in following the example of courts who already have social media accounts for media and administrative purposes. The current discourse focuses on the extent of the Court’s social media engagement, for example, whether to live stream sentencing remarks in criminal cases and allow journalists’ use of social media in the courtroom.</w:t>
      </w:r>
    </w:p>
    <w:p w14:paraId="07370A34" w14:textId="77777777" w:rsidR="0048524B" w:rsidRDefault="0048524B" w:rsidP="00AC7DBF">
      <w:pPr>
        <w:rPr>
          <w:noProof/>
        </w:rPr>
      </w:pPr>
      <w:r>
        <w:rPr>
          <w:noProof/>
        </w:rPr>
        <w:t>Through a literature review and an analysis of case studies from Australian and other jurisdictions where the judiciary has employed social media, this research (i) describes the procedural, political and ethical dimensions of impartiality; (ii) outlines possible uses of social media; (iii) evaluates the implications of social media use on judicial impartiality; and (iv) recommends future uses of social media by the Australian courts and judges.</w:t>
      </w:r>
    </w:p>
    <w:p w14:paraId="658F3319" w14:textId="77777777" w:rsidR="0048524B" w:rsidRDefault="0048524B">
      <w:r>
        <w:rPr>
          <w:noProof/>
        </w:rPr>
        <w:t>The conclusion is that the ‘courts should take advantage of social media such as Twitter and Facebook to better explain themselves to the public’, as stated by Marilyn Warren AC. Judicial use of social media promotes transparency and accessibility, public confidence and overall community engagement. However, thorough regulations should be implemented to protect against the influence of public opinion, oversimplification of nuanced case issues and exposure to damaging comments.</w:t>
      </w:r>
    </w:p>
    <w:p w14:paraId="41A8277D" w14:textId="77777777" w:rsidR="0048524B" w:rsidRDefault="0048524B"/>
    <w:p w14:paraId="75DC90B8" w14:textId="77777777" w:rsidR="00AC7DBF" w:rsidRDefault="00AC7DBF">
      <w:pPr>
        <w:rPr>
          <w:b/>
          <w:noProof/>
        </w:rPr>
      </w:pPr>
      <w:r>
        <w:rPr>
          <w:b/>
          <w:noProof/>
        </w:rPr>
        <w:br w:type="page"/>
      </w:r>
    </w:p>
    <w:p w14:paraId="4E9F7A97" w14:textId="40EBAFB0" w:rsidR="00AC7DBF" w:rsidRDefault="00AC7DBF" w:rsidP="00AC7DBF">
      <w:pPr>
        <w:pStyle w:val="Heading1"/>
        <w:rPr>
          <w:lang w:eastAsia="en-GB"/>
        </w:rPr>
      </w:pPr>
      <w:r w:rsidRPr="00AC7DBF">
        <w:lastRenderedPageBreak/>
        <w:t xml:space="preserve">Panel 5B: </w:t>
      </w:r>
      <w:r w:rsidRPr="00AC7DBF">
        <w:rPr>
          <w:lang w:eastAsia="en-GB"/>
        </w:rPr>
        <w:t>Education</w:t>
      </w:r>
    </w:p>
    <w:p w14:paraId="2CBFD3BF" w14:textId="77777777" w:rsidR="00AC7DBF" w:rsidRPr="00AC7DBF" w:rsidRDefault="00AC7DBF" w:rsidP="00AC7DBF">
      <w:pPr>
        <w:rPr>
          <w:lang w:eastAsia="en-GB"/>
        </w:rPr>
      </w:pPr>
    </w:p>
    <w:p w14:paraId="6AFFC558" w14:textId="4DA8B7F3" w:rsidR="0048524B" w:rsidRDefault="0048524B">
      <w:r w:rsidRPr="002E1C1E">
        <w:rPr>
          <w:b/>
          <w:noProof/>
        </w:rPr>
        <w:t>Imogen</w:t>
      </w:r>
      <w:r w:rsidRPr="008357DE">
        <w:rPr>
          <w:b/>
        </w:rPr>
        <w:t xml:space="preserve"> </w:t>
      </w:r>
      <w:r w:rsidRPr="002E1C1E">
        <w:rPr>
          <w:b/>
          <w:noProof/>
        </w:rPr>
        <w:t>Holdsworth</w:t>
      </w:r>
      <w:r w:rsidRPr="008357DE">
        <w:rPr>
          <w:b/>
        </w:rPr>
        <w:t xml:space="preserve"> </w:t>
      </w:r>
      <w:r>
        <w:rPr>
          <w:b/>
        </w:rPr>
        <w:t xml:space="preserve"> </w:t>
      </w:r>
      <w:r w:rsidRPr="008357DE">
        <w:t>(</w:t>
      </w:r>
      <w:r>
        <w:rPr>
          <w:noProof/>
        </w:rPr>
        <w:t>Monash University Australia</w:t>
      </w:r>
      <w:r w:rsidR="00AC7DBF">
        <w:t>)</w:t>
      </w:r>
    </w:p>
    <w:p w14:paraId="7142A020" w14:textId="77777777" w:rsidR="0048524B" w:rsidRDefault="0048524B">
      <w:pPr>
        <w:rPr>
          <w:i/>
        </w:rPr>
      </w:pPr>
      <w:r w:rsidRPr="002E1C1E">
        <w:rPr>
          <w:i/>
          <w:noProof/>
        </w:rPr>
        <w:t>Sex Education and its Impact on Young Women’s Sense of Sexual Agency</w:t>
      </w:r>
    </w:p>
    <w:p w14:paraId="2405DFD7" w14:textId="77777777" w:rsidR="0048524B" w:rsidRDefault="0048524B" w:rsidP="00AC7DBF">
      <w:pPr>
        <w:rPr>
          <w:noProof/>
        </w:rPr>
      </w:pPr>
      <w:r>
        <w:rPr>
          <w:noProof/>
        </w:rPr>
        <w:t>Young women are experiencing an imbalance when it comes to sexuality in terms of intimate relationships practices, media representation, as well as in negotiating the complicated messages stemming from radical feminist movements that dictate that liberation equates to overt sexual display. Sex education aims to teach healthy intimate practices for relationships that ultimately lead to happier and safer experiences. Yet the abstinence education in the current Victorian Government sex-education programme does not fill the gap experienced by young women in their transition between sex education and the language of adult sexual spaces.</w:t>
      </w:r>
    </w:p>
    <w:p w14:paraId="10690A75" w14:textId="77777777" w:rsidR="0048524B" w:rsidRDefault="0048524B" w:rsidP="00AC7DBF">
      <w:pPr>
        <w:rPr>
          <w:noProof/>
        </w:rPr>
      </w:pPr>
      <w:r>
        <w:rPr>
          <w:noProof/>
        </w:rPr>
        <w:t>The literature on this suggests that young people experience a removal of agency when it comes to sex education that is not experienced in other school subjects. Some argue that this is due to the severe lack of safe spaces for young people to discuss the complexities of sexuality, in ways that they do for other school subjects. Hence, there is a reliance on sources that are pornographic, factually incorrect and reinforce gender roles.</w:t>
      </w:r>
    </w:p>
    <w:p w14:paraId="28C2EBB1" w14:textId="77777777" w:rsidR="0048524B" w:rsidRDefault="0048524B">
      <w:r>
        <w:rPr>
          <w:noProof/>
        </w:rPr>
        <w:t>This study will interview young women between the ages of 18 and 22 who attended Victorian State Government high schools to discover how this gap is experienced, and what specifically is missing in sex education that may alleviate this tension. It predicts that sex education is a key space that needs to be looked at to help support young women in their understanding of sexuality, and questions whether the current model is adequate in preparing young people for the modern messages around sexual expression.</w:t>
      </w:r>
    </w:p>
    <w:p w14:paraId="58D8C030" w14:textId="77777777" w:rsidR="0048524B" w:rsidRDefault="0048524B"/>
    <w:p w14:paraId="0E51D7F1" w14:textId="611CCB7A" w:rsidR="0048524B" w:rsidRDefault="0048524B">
      <w:r w:rsidRPr="002E1C1E">
        <w:rPr>
          <w:b/>
          <w:noProof/>
        </w:rPr>
        <w:t>Alice</w:t>
      </w:r>
      <w:r w:rsidRPr="008357DE">
        <w:rPr>
          <w:b/>
        </w:rPr>
        <w:t xml:space="preserve"> </w:t>
      </w:r>
      <w:r w:rsidRPr="002E1C1E">
        <w:rPr>
          <w:b/>
          <w:noProof/>
        </w:rPr>
        <w:t>Kunjumon</w:t>
      </w:r>
      <w:r w:rsidRPr="008357DE">
        <w:rPr>
          <w:b/>
        </w:rPr>
        <w:t xml:space="preserve"> </w:t>
      </w:r>
      <w:r>
        <w:rPr>
          <w:b/>
        </w:rPr>
        <w:t xml:space="preserve"> </w:t>
      </w:r>
      <w:r w:rsidRPr="008357DE">
        <w:t>(</w:t>
      </w:r>
      <w:r>
        <w:rPr>
          <w:noProof/>
        </w:rPr>
        <w:t>Monash University Australia</w:t>
      </w:r>
      <w:r w:rsidR="00AC7DBF">
        <w:t>)</w:t>
      </w:r>
    </w:p>
    <w:p w14:paraId="74D5FE9B" w14:textId="77777777" w:rsidR="0048524B" w:rsidRDefault="0048524B">
      <w:pPr>
        <w:rPr>
          <w:i/>
        </w:rPr>
      </w:pPr>
      <w:r w:rsidRPr="002E1C1E">
        <w:rPr>
          <w:i/>
          <w:noProof/>
        </w:rPr>
        <w:t>Effects of Children’s Perceptions on Parents’ Value of Education and Their Own Value and Academic Success</w:t>
      </w:r>
    </w:p>
    <w:p w14:paraId="50957A24" w14:textId="77777777" w:rsidR="0048524B" w:rsidRDefault="0048524B" w:rsidP="00AC7DBF">
      <w:pPr>
        <w:rPr>
          <w:noProof/>
        </w:rPr>
      </w:pPr>
      <w:r>
        <w:rPr>
          <w:noProof/>
        </w:rPr>
        <w:t>‘If I had to pick one factor on whether or not a student was going to strive, perform well, get their homework done: it’s the value that parents put on education’ (Judy, The Sydney Herald Sun, 2016).</w:t>
      </w:r>
    </w:p>
    <w:p w14:paraId="117B9E68" w14:textId="77777777" w:rsidR="0048524B" w:rsidRDefault="0048524B" w:rsidP="00AC7DBF">
      <w:pPr>
        <w:rPr>
          <w:noProof/>
        </w:rPr>
      </w:pPr>
      <w:r>
        <w:rPr>
          <w:noProof/>
        </w:rPr>
        <w:t>Recently released PISA from 2015 have shown that Australia has declined in maths (10th globally), Science (20th) and Literacy (10th) since 2000. Australia is below average for all these subject areas in comparison to the OECD average. One reason for this decline is the reduction in value of education in students and parents.</w:t>
      </w:r>
    </w:p>
    <w:p w14:paraId="4E78C1C4" w14:textId="77777777" w:rsidR="0048524B" w:rsidRDefault="0048524B" w:rsidP="00AC7DBF">
      <w:pPr>
        <w:rPr>
          <w:noProof/>
        </w:rPr>
      </w:pPr>
      <w:r>
        <w:rPr>
          <w:noProof/>
        </w:rPr>
        <w:t xml:space="preserve">A longitudinal study conducted by the University of Queensland’s Faculty of Health and Behavioural Sciences found that students who grew up with more books at home showed that their parents cared about education (The Sydney Herald Sun, 2016). Furthermore, various research has also shown that children’s perception of their parents in terms of motivation, involvement and support for schooling play a crucial role in children’s academic success (Seginer, 1983; Grolnick, Ryan and Deci, 1991). However, there is only a limited amount of literature on this topic; therefore, this literature review aims to build on previous research and propose a research question in order to fill the gap in the literature. This review will focus on parents’ value on education and the effect it has </w:t>
      </w:r>
      <w:r>
        <w:rPr>
          <w:noProof/>
        </w:rPr>
        <w:lastRenderedPageBreak/>
        <w:t>on their child’s value of education and academic success. This will be conducted through a literature review, and future research suggestion will also be made.</w:t>
      </w:r>
    </w:p>
    <w:p w14:paraId="09AE48B5" w14:textId="77777777" w:rsidR="0048524B" w:rsidRDefault="0048524B">
      <w:r>
        <w:rPr>
          <w:noProof/>
        </w:rPr>
        <w:t>It is hypothesised that children of parents who have a higher value for education will display greater value for education and thus greater academic performance; whereas, children of parents who have lower value for education will display lower value for education and thus lower level of academic performance. By understanding how parents’ value for education affect students, suggestion of improvement and development of strategies can be constructed to improve perception in parents.</w:t>
      </w:r>
    </w:p>
    <w:p w14:paraId="7E280CAF" w14:textId="77777777" w:rsidR="0048524B" w:rsidRDefault="0048524B"/>
    <w:p w14:paraId="617B99F9" w14:textId="0EDC860C" w:rsidR="0048524B" w:rsidRDefault="0048524B">
      <w:r w:rsidRPr="002E1C1E">
        <w:rPr>
          <w:b/>
          <w:noProof/>
        </w:rPr>
        <w:t>Anoshamisa</w:t>
      </w:r>
      <w:r w:rsidRPr="008357DE">
        <w:rPr>
          <w:b/>
        </w:rPr>
        <w:t xml:space="preserve"> </w:t>
      </w:r>
      <w:r w:rsidRPr="002E1C1E">
        <w:rPr>
          <w:b/>
          <w:noProof/>
        </w:rPr>
        <w:t>Gonye</w:t>
      </w:r>
      <w:r w:rsidRPr="008357DE">
        <w:rPr>
          <w:b/>
        </w:rPr>
        <w:t xml:space="preserve"> </w:t>
      </w:r>
      <w:r w:rsidRPr="002E1C1E">
        <w:rPr>
          <w:b/>
          <w:noProof/>
        </w:rPr>
        <w:t>and Dan Nadasan</w:t>
      </w:r>
      <w:r>
        <w:rPr>
          <w:b/>
        </w:rPr>
        <w:t xml:space="preserve"> </w:t>
      </w:r>
      <w:r w:rsidRPr="008357DE">
        <w:t>(</w:t>
      </w:r>
      <w:r>
        <w:rPr>
          <w:noProof/>
        </w:rPr>
        <w:t>University of Warwick</w:t>
      </w:r>
      <w:r w:rsidR="00AC7DBF">
        <w:t>)</w:t>
      </w:r>
    </w:p>
    <w:p w14:paraId="5DCEBDCC" w14:textId="77777777" w:rsidR="0048524B" w:rsidRDefault="0048524B">
      <w:pPr>
        <w:rPr>
          <w:i/>
        </w:rPr>
      </w:pPr>
      <w:r w:rsidRPr="002E1C1E">
        <w:rPr>
          <w:i/>
          <w:noProof/>
        </w:rPr>
        <w:t>Widening Participation in Higher Education Through Undergraduate Research</w:t>
      </w:r>
    </w:p>
    <w:p w14:paraId="5F541ADE" w14:textId="77777777" w:rsidR="0048524B" w:rsidRDefault="0048524B">
      <w:r>
        <w:rPr>
          <w:noProof/>
        </w:rPr>
        <w:t>This presentation focuses on theoretically bridging two institutional movements that have gained increasing momentum in the UK academic landscape: Widening Participation and Undergraduate Research. While Widening Participation (WP) is a nation-wide policy-movement seeking to increase the participation of underrepresented groups in higher education (HE), Undergraduate Research (UR) has instilled a paradigmatic shift towards considering undergraduate students as intra-institutional partners in producing academic knowledge. In light of this context, our research focuses on arguing that UR constitutes an effective institutional tool for the integration of WP students into a community of academic practice. Thus, we have adopted a holistic approach to consider how UR can enrich the qualitative experiences of WP students within the whole student lifecycle, positively impacting their retention and post-university progression, and going beyond the traditional, quantitative measurement of WP activity at the outreach and recruitment stages. In our research, we have identified a disparity in the literature between US and UK theoretical approaches to promoting UR as a high-impact practice for improving undergraduate academic experiences and outcomes. As such, our comparative methodological approach, centred around an extensive, empirically oriented literature review, corroborates the thesis that, through UR, WP students can develop a sense of self-authorship and scholarly independence, which can substantially improve their academic engagement, retention and educational outcomes. Thus, a preliminary implication is that for UK undergraduate research schemes to fulfil their inclusive potential, a stronger emphasis should be placed on UR as a holistic, immersive and community-based academic endeavour.</w:t>
      </w:r>
    </w:p>
    <w:p w14:paraId="389795BC" w14:textId="77777777" w:rsidR="0048524B" w:rsidRDefault="0048524B"/>
    <w:p w14:paraId="2A581408" w14:textId="0B60F0C7" w:rsidR="0048524B" w:rsidRDefault="0048524B">
      <w:r w:rsidRPr="002E1C1E">
        <w:rPr>
          <w:b/>
          <w:noProof/>
        </w:rPr>
        <w:t>Fiona</w:t>
      </w:r>
      <w:r w:rsidRPr="008357DE">
        <w:rPr>
          <w:b/>
        </w:rPr>
        <w:t xml:space="preserve"> </w:t>
      </w:r>
      <w:r w:rsidRPr="002E1C1E">
        <w:rPr>
          <w:b/>
          <w:noProof/>
        </w:rPr>
        <w:t>Brewis</w:t>
      </w:r>
      <w:r w:rsidRPr="008357DE">
        <w:rPr>
          <w:b/>
        </w:rPr>
        <w:t xml:space="preserve"> </w:t>
      </w:r>
      <w:r>
        <w:rPr>
          <w:b/>
        </w:rPr>
        <w:t xml:space="preserve"> </w:t>
      </w:r>
      <w:r w:rsidRPr="008357DE">
        <w:t>(</w:t>
      </w:r>
      <w:r>
        <w:rPr>
          <w:noProof/>
        </w:rPr>
        <w:t>University of Warwick</w:t>
      </w:r>
      <w:r w:rsidR="00AC7DBF">
        <w:t>)</w:t>
      </w:r>
    </w:p>
    <w:p w14:paraId="10053C5E" w14:textId="77777777" w:rsidR="0048524B" w:rsidRDefault="0048524B">
      <w:pPr>
        <w:rPr>
          <w:i/>
        </w:rPr>
      </w:pPr>
      <w:r w:rsidRPr="002E1C1E">
        <w:rPr>
          <w:i/>
          <w:noProof/>
        </w:rPr>
        <w:t>Textbooks and Classrooms: Is this the best we can do? The failures of the UK education system and obstacles to the implementation of an ‘ideal’ education</w:t>
      </w:r>
    </w:p>
    <w:p w14:paraId="33E9A43C" w14:textId="77777777" w:rsidR="0048524B" w:rsidRDefault="0048524B" w:rsidP="00AC7DBF">
      <w:pPr>
        <w:rPr>
          <w:noProof/>
        </w:rPr>
      </w:pPr>
      <w:r>
        <w:rPr>
          <w:noProof/>
        </w:rPr>
        <w:t>In 2010 the Scottish Government implemented the Curriculum for Excellence in Scottish schools, designed not only to teach the usual numeracy and literacy but also to develop character by creating ‘confident individuals, responsible citizens, effective contributors, and successful learners’. This recognised the need to encourage personality traits in children who will grow up to find that even achieving top grades will neither prepare them for real-life situations such as relationships, nor guarantee employment. In theory, an education that prepares children for real-life situations would be ideal; however, whether or not a classroom-based education is truly effective in developing the character of individuals is an issue which must be evaluated.</w:t>
      </w:r>
    </w:p>
    <w:p w14:paraId="254E7395" w14:textId="77777777" w:rsidR="0048524B" w:rsidRDefault="0048524B">
      <w:r>
        <w:rPr>
          <w:noProof/>
        </w:rPr>
        <w:lastRenderedPageBreak/>
        <w:t>An analysis of the academic research by McCulloch, Moore, Guiney, White, and Roofe and Bezzina has been undertaken to investigate the flaws in modern classroom-based education and the obstacles which undermine the aim to develop character. Academic literature on the topic of educational reform list constant assessment as a primary fault without recognising the importance inactivity and boredom in the classroom plays in alienating young adults from an enjoyable learning experience. Secondary school curriculum content often appears to be far removed from useful knowledge applicable to everyday situations. Hence, gaps in the social, political and administrative knowledge of many pupils after completing secondary school education are often ignored. Ensuring that future educational reform addresses these issues, and that the reforms are implemented successfully, is critical to the advancement of our educational institutes, and thus the wellbeing and preparation of young people for life after school.</w:t>
      </w:r>
    </w:p>
    <w:p w14:paraId="4DB4D02D" w14:textId="77777777" w:rsidR="0048524B" w:rsidRDefault="0048524B"/>
    <w:p w14:paraId="5B7E8307" w14:textId="77777777" w:rsidR="00AC7DBF" w:rsidRDefault="00AC7DBF">
      <w:pPr>
        <w:rPr>
          <w:b/>
          <w:noProof/>
        </w:rPr>
      </w:pPr>
      <w:r>
        <w:rPr>
          <w:b/>
          <w:noProof/>
        </w:rPr>
        <w:br w:type="page"/>
      </w:r>
    </w:p>
    <w:p w14:paraId="7B7A11B3" w14:textId="66D38143" w:rsidR="00AC7DBF" w:rsidRDefault="00AC7DBF" w:rsidP="00AC7DBF">
      <w:pPr>
        <w:pStyle w:val="Heading1"/>
      </w:pPr>
      <w:r>
        <w:lastRenderedPageBreak/>
        <w:t xml:space="preserve">Panel 5C: </w:t>
      </w:r>
      <w:r w:rsidRPr="00AC7DBF">
        <w:t>Memory and Lived Experience</w:t>
      </w:r>
    </w:p>
    <w:p w14:paraId="5B12DD93" w14:textId="77777777" w:rsidR="00AC7DBF" w:rsidRPr="00AC7DBF" w:rsidRDefault="00AC7DBF" w:rsidP="00AC7DBF"/>
    <w:p w14:paraId="2CA33F44" w14:textId="79BDF48D" w:rsidR="0048524B" w:rsidRDefault="0048524B">
      <w:r w:rsidRPr="002E1C1E">
        <w:rPr>
          <w:b/>
          <w:noProof/>
        </w:rPr>
        <w:t>Madeleine</w:t>
      </w:r>
      <w:r w:rsidRPr="008357DE">
        <w:rPr>
          <w:b/>
        </w:rPr>
        <w:t xml:space="preserve"> </w:t>
      </w:r>
      <w:r w:rsidRPr="002E1C1E">
        <w:rPr>
          <w:b/>
          <w:noProof/>
        </w:rPr>
        <w:t>Clark</w:t>
      </w:r>
      <w:r w:rsidRPr="008357DE">
        <w:rPr>
          <w:b/>
        </w:rPr>
        <w:t xml:space="preserve"> </w:t>
      </w:r>
      <w:r>
        <w:rPr>
          <w:b/>
        </w:rPr>
        <w:t xml:space="preserve"> </w:t>
      </w:r>
      <w:r w:rsidRPr="008357DE">
        <w:t>(</w:t>
      </w:r>
      <w:r>
        <w:rPr>
          <w:noProof/>
        </w:rPr>
        <w:t>Monash University Australia</w:t>
      </w:r>
      <w:r w:rsidR="00AC7DBF">
        <w:t>)</w:t>
      </w:r>
    </w:p>
    <w:p w14:paraId="0DBEE348" w14:textId="77777777" w:rsidR="0048524B" w:rsidRDefault="0048524B">
      <w:pPr>
        <w:rPr>
          <w:i/>
        </w:rPr>
      </w:pPr>
      <w:r w:rsidRPr="002E1C1E">
        <w:rPr>
          <w:i/>
          <w:noProof/>
        </w:rPr>
        <w:t>Living Through Death: The implications of severe trauma for philosophies of identity</w:t>
      </w:r>
    </w:p>
    <w:p w14:paraId="6F21F0E2" w14:textId="77777777" w:rsidR="0048524B" w:rsidRDefault="0048524B">
      <w:r>
        <w:rPr>
          <w:noProof/>
        </w:rPr>
        <w:t>Survivors of trauma frequently report that they are not the same people they used to be. For instance, survivors of rape will often say ‘I used to be’ and ‘my old self’ when discussing their lives before being assaulted. It is this repeated testimony that demonstrates the link between trauma and the metaphysics of identity. It is tempting to dismiss such testimony as merely a result of psychological trauma and argue that it should therefore be discounted from philosophical considerations. It might be said that the person still has access to the memories of their supposedly ‘former’ self, and that therefore they must be the same individual. My research will attempt to prove that this is not automatically the case, and that the testimony of trauma survivors should be given greater philosophical weight. Through an examination of both long-standing metaphysical debates around personal identity and contemporary trauma theory, the limitations of existing philosophy will be critiqued. Trauma problematises metaphysical interpretations of personal identity in ways that have not been adequately accounted for by metaphysicians and, as such, this research will advocate for a more complex discussion of personal identity that considers these complications. This inquiry has implications not only for the metaphysics of identity but also for the treatment of (and response to) survivors of severe psychological traumas.</w:t>
      </w:r>
    </w:p>
    <w:p w14:paraId="042302FE" w14:textId="77777777" w:rsidR="0048524B" w:rsidRDefault="0048524B"/>
    <w:p w14:paraId="4E368B89" w14:textId="633C602D" w:rsidR="0048524B" w:rsidRDefault="0048524B">
      <w:r w:rsidRPr="002E1C1E">
        <w:rPr>
          <w:b/>
          <w:noProof/>
        </w:rPr>
        <w:t>Fiona</w:t>
      </w:r>
      <w:r w:rsidRPr="008357DE">
        <w:rPr>
          <w:b/>
        </w:rPr>
        <w:t xml:space="preserve"> </w:t>
      </w:r>
      <w:r w:rsidRPr="002E1C1E">
        <w:rPr>
          <w:b/>
          <w:noProof/>
        </w:rPr>
        <w:t>Powell</w:t>
      </w:r>
      <w:r w:rsidRPr="008357DE">
        <w:rPr>
          <w:b/>
        </w:rPr>
        <w:t xml:space="preserve"> </w:t>
      </w:r>
      <w:r>
        <w:rPr>
          <w:b/>
        </w:rPr>
        <w:t xml:space="preserve"> </w:t>
      </w:r>
      <w:r w:rsidRPr="008357DE">
        <w:t>(</w:t>
      </w:r>
      <w:r>
        <w:rPr>
          <w:noProof/>
        </w:rPr>
        <w:t>University of Leeds</w:t>
      </w:r>
      <w:r w:rsidR="00AC7DBF">
        <w:t>)</w:t>
      </w:r>
    </w:p>
    <w:p w14:paraId="1D93E8A1" w14:textId="77777777" w:rsidR="0048524B" w:rsidRDefault="0048524B">
      <w:pPr>
        <w:rPr>
          <w:i/>
        </w:rPr>
      </w:pPr>
      <w:r w:rsidRPr="002E1C1E">
        <w:rPr>
          <w:i/>
          <w:noProof/>
        </w:rPr>
        <w:t>A Place of Our Own: Examining the lived experiences of 18–24 year olds in Leeds negotiating access to housing and the impact of vulnerability upon housing precarity</w:t>
      </w:r>
    </w:p>
    <w:p w14:paraId="4E502481" w14:textId="77777777" w:rsidR="0048524B" w:rsidRDefault="0048524B" w:rsidP="00AC7DBF">
      <w:pPr>
        <w:rPr>
          <w:noProof/>
        </w:rPr>
      </w:pPr>
      <w:r>
        <w:rPr>
          <w:noProof/>
        </w:rPr>
        <w:t>Arguably one of the biggest challenges facing young people today is finding safe, affordable housing. This piece of research focuses on the lived experiences of students who have experienced diverse housing pathways and have vulnerabilities not recognised by policy – for example, familial poverty and/or mental health issues. Policy addresses only those perceived as the most vulnerable such as care leavers or those with significant disabilities; students who are not defined by these groups are not seen as vulnerable to housing precarity.</w:t>
      </w:r>
    </w:p>
    <w:p w14:paraId="739555A8" w14:textId="77777777" w:rsidR="0048524B" w:rsidRDefault="0048524B">
      <w:r>
        <w:rPr>
          <w:noProof/>
        </w:rPr>
        <w:t>The research was approached by firstly undertaking a literature review of existing research, followed by a mixed-methods approach. The quantitative research was undertaken using Excel data analysis and data drawn from the Family Resource Survey 2015/16 and the Labour Force Survey covering 1996–2016. The qualitative data was collected using semi-structured interviews (n=5) to gain a better understanding of the lived experiences underpinning the choices made by young people negotiating the housing sector and what impact vulnerabilities had on these choices. The overall findings were that, although all participants had experienced some degree of housing precarity and agreed that their choices had been impacted by vulnerabilities, there was no evidence that these vulnerabilities had directly caused the housing precarity.</w:t>
      </w:r>
    </w:p>
    <w:p w14:paraId="43040458" w14:textId="77777777" w:rsidR="0048524B" w:rsidRDefault="0048524B"/>
    <w:p w14:paraId="1E1CB630" w14:textId="77777777" w:rsidR="00AC7DBF" w:rsidRDefault="00AC7DBF">
      <w:pPr>
        <w:rPr>
          <w:b/>
          <w:noProof/>
        </w:rPr>
      </w:pPr>
      <w:r>
        <w:rPr>
          <w:b/>
          <w:noProof/>
        </w:rPr>
        <w:br w:type="page"/>
      </w:r>
    </w:p>
    <w:p w14:paraId="0C27769E" w14:textId="1541F33A" w:rsidR="0048524B" w:rsidRDefault="0048524B">
      <w:r w:rsidRPr="002E1C1E">
        <w:rPr>
          <w:b/>
          <w:noProof/>
        </w:rPr>
        <w:lastRenderedPageBreak/>
        <w:t>Gellar</w:t>
      </w:r>
      <w:r w:rsidRPr="008357DE">
        <w:rPr>
          <w:b/>
        </w:rPr>
        <w:t xml:space="preserve"> </w:t>
      </w:r>
      <w:r w:rsidRPr="002E1C1E">
        <w:rPr>
          <w:b/>
          <w:noProof/>
        </w:rPr>
        <w:t>Day</w:t>
      </w:r>
      <w:r w:rsidRPr="008357DE">
        <w:rPr>
          <w:b/>
        </w:rPr>
        <w:t xml:space="preserve"> </w:t>
      </w:r>
      <w:r>
        <w:rPr>
          <w:b/>
        </w:rPr>
        <w:t xml:space="preserve"> </w:t>
      </w:r>
      <w:r w:rsidRPr="008357DE">
        <w:t>(</w:t>
      </w:r>
      <w:r>
        <w:rPr>
          <w:noProof/>
        </w:rPr>
        <w:t>University of Leeds</w:t>
      </w:r>
      <w:r w:rsidR="00AC7DBF">
        <w:t>)</w:t>
      </w:r>
    </w:p>
    <w:p w14:paraId="60FE4C49" w14:textId="77777777" w:rsidR="0048524B" w:rsidRDefault="0048524B">
      <w:pPr>
        <w:rPr>
          <w:i/>
        </w:rPr>
      </w:pPr>
      <w:r w:rsidRPr="002E1C1E">
        <w:rPr>
          <w:i/>
          <w:noProof/>
        </w:rPr>
        <w:t>Probing the Family: A critical discourse analysis of the family in alien horror movies</w:t>
      </w:r>
    </w:p>
    <w:p w14:paraId="16C171E6" w14:textId="77777777" w:rsidR="0048524B" w:rsidRDefault="0048524B">
      <w:r>
        <w:rPr>
          <w:noProof/>
        </w:rPr>
        <w:t>Movies and what they represent are not politically neutral. At a time of rising far-right sentiment threatening the safety of marginalised groups, the cultural messages they disseminate need to be properly understood. Little research has grappled with explaining the decline of the nuclear family in practice alongside its continued idealisation, which is capitalised on by far-right movements. This study looks to understand the discursive constructions of families within (re)presentations in alien horror movies, chosen for their aptness in observing these messages such as Fourth Kind (2009) and Dark Skies (2013). Specifically, it looks to understand the ways these movies perpetuate such idealisations or challenge them. Utilising queer theory and low theory, it is concerned with destabilising beliefs in ‘proper’ or ‘correct’ ways of living and elevating popular media’s messages alongside hitherto idolised examples of high art. Together, these move beyond research of horror movies limited by a small group of texts researched (Frankenstein, Dracula, etc.) and reliance on psychoanalysis to understand them. Briefly, this study found the nuclear family ideal is perpetuated within these movies, but significant flaws are exposed that produce a salient critique. Thus, it concludes that, while such movies need a queer outlook, these texts can become a destabilising force regarding the nuclear family ideal in highlighting forms of violence it enables. Therefore, this research aids contemporary rights efforts by countering narratives of propriety that demonise the family practices of LGBTQ+, working class and ethnic minority communities.</w:t>
      </w:r>
    </w:p>
    <w:p w14:paraId="163B552E" w14:textId="77777777" w:rsidR="0048524B" w:rsidRDefault="0048524B"/>
    <w:p w14:paraId="7D3F8A44" w14:textId="5AFC1F19" w:rsidR="0048524B" w:rsidRDefault="0048524B">
      <w:r w:rsidRPr="002E1C1E">
        <w:rPr>
          <w:b/>
          <w:noProof/>
        </w:rPr>
        <w:t>Madeleine</w:t>
      </w:r>
      <w:r w:rsidRPr="008357DE">
        <w:rPr>
          <w:b/>
        </w:rPr>
        <w:t xml:space="preserve"> </w:t>
      </w:r>
      <w:r w:rsidRPr="002E1C1E">
        <w:rPr>
          <w:b/>
          <w:noProof/>
        </w:rPr>
        <w:t>Steeds</w:t>
      </w:r>
      <w:r w:rsidRPr="008357DE">
        <w:rPr>
          <w:b/>
        </w:rPr>
        <w:t xml:space="preserve"> </w:t>
      </w:r>
      <w:r>
        <w:rPr>
          <w:b/>
        </w:rPr>
        <w:t xml:space="preserve"> </w:t>
      </w:r>
      <w:r w:rsidRPr="008357DE">
        <w:t>(</w:t>
      </w:r>
      <w:r>
        <w:rPr>
          <w:noProof/>
        </w:rPr>
        <w:t>University of Leeds</w:t>
      </w:r>
      <w:r w:rsidR="00AC7DBF">
        <w:t>)</w:t>
      </w:r>
    </w:p>
    <w:p w14:paraId="09A85AA0" w14:textId="77777777" w:rsidR="0048524B" w:rsidRDefault="0048524B">
      <w:pPr>
        <w:rPr>
          <w:i/>
        </w:rPr>
      </w:pPr>
      <w:r w:rsidRPr="002E1C1E">
        <w:rPr>
          <w:i/>
          <w:noProof/>
        </w:rPr>
        <w:t>The Use of Novel Virtual Environments to Improve Memory in Older Adults</w:t>
      </w:r>
    </w:p>
    <w:p w14:paraId="1AA972C9" w14:textId="77777777" w:rsidR="0048524B" w:rsidRDefault="0048524B">
      <w:r>
        <w:rPr>
          <w:noProof/>
        </w:rPr>
        <w:t>The present study investigated whether Virtual Reality could improve episodic memory in older adults. With age, deficits occur in many aspects of living, and many adults experience cognitive decline. This is commonly seen in memory. An aspect of memory often negatively affected by age is episodic memory. This occurs because dopamine production, which helps the formation of long-term episodic memories in the hippocampus, decreases with age. Prior studies have found dopamine administered to older adults improved the persistence of episodic memories, which were assessed using a recognition-based, remember–know paradigm. The present study aims to replicate this study using novel stimuli to produce dopamine. Novel stimuli were presented in the form of a Virtual Reality environment that participants explored for ten minutes. Participants attended two sessions, one week apart. In the first session, all participants explored a novel virtual environment and were then shown 60 photographs. The following day they were shown pictures and asked if it was a picture they had seen before and, if yes, did they remember it, just know they had seen it before or guess. This was repeated in the second week; however, half the participants explored a novel environment while the others explored the same environment as before. The data was analysed using a 2x2 (condition x time) ANCOVA, with ACE-iii and age as covariates. No significant results were found. The implications of this and how it relates to previous studies are discussed. The directions that future research in this area could explore are considered.</w:t>
      </w:r>
    </w:p>
    <w:p w14:paraId="71A54782" w14:textId="77777777" w:rsidR="0048524B" w:rsidRDefault="0048524B"/>
    <w:p w14:paraId="09805646" w14:textId="77777777" w:rsidR="00AC7DBF" w:rsidRDefault="00AC7DBF">
      <w:pPr>
        <w:rPr>
          <w:b/>
          <w:noProof/>
        </w:rPr>
      </w:pPr>
      <w:r>
        <w:rPr>
          <w:b/>
          <w:noProof/>
        </w:rPr>
        <w:br w:type="page"/>
      </w:r>
    </w:p>
    <w:p w14:paraId="43792664" w14:textId="306E0971" w:rsidR="00AC7DBF" w:rsidRDefault="00AC7DBF" w:rsidP="006F789B">
      <w:pPr>
        <w:pStyle w:val="Heading1"/>
      </w:pPr>
      <w:r>
        <w:lastRenderedPageBreak/>
        <w:t xml:space="preserve">Panel 5D: </w:t>
      </w:r>
      <w:r w:rsidR="006F789B" w:rsidRPr="006F789B">
        <w:t>Education and Pedagogy</w:t>
      </w:r>
    </w:p>
    <w:p w14:paraId="086CF864" w14:textId="77777777" w:rsidR="006F789B" w:rsidRPr="006F789B" w:rsidRDefault="006F789B" w:rsidP="006F789B"/>
    <w:p w14:paraId="6CB532CC" w14:textId="61EC9901" w:rsidR="0048524B" w:rsidRDefault="0048524B">
      <w:r w:rsidRPr="002E1C1E">
        <w:rPr>
          <w:b/>
          <w:noProof/>
        </w:rPr>
        <w:t>Stefanie</w:t>
      </w:r>
      <w:r w:rsidRPr="008357DE">
        <w:rPr>
          <w:b/>
        </w:rPr>
        <w:t xml:space="preserve"> </w:t>
      </w:r>
      <w:r w:rsidRPr="002E1C1E">
        <w:rPr>
          <w:b/>
          <w:noProof/>
        </w:rPr>
        <w:t>Carino</w:t>
      </w:r>
      <w:r w:rsidRPr="008357DE">
        <w:rPr>
          <w:b/>
        </w:rPr>
        <w:t xml:space="preserve"> </w:t>
      </w:r>
      <w:r>
        <w:rPr>
          <w:b/>
        </w:rPr>
        <w:t xml:space="preserve"> </w:t>
      </w:r>
      <w:r w:rsidRPr="008357DE">
        <w:t>(</w:t>
      </w:r>
      <w:r>
        <w:rPr>
          <w:noProof/>
        </w:rPr>
        <w:t>Monash University Australia</w:t>
      </w:r>
      <w:r w:rsidR="006F789B">
        <w:t>)</w:t>
      </w:r>
    </w:p>
    <w:p w14:paraId="7E6A9D96" w14:textId="77777777" w:rsidR="0048524B" w:rsidRDefault="0048524B">
      <w:pPr>
        <w:rPr>
          <w:i/>
        </w:rPr>
      </w:pPr>
      <w:r w:rsidRPr="002E1C1E">
        <w:rPr>
          <w:i/>
          <w:noProof/>
        </w:rPr>
        <w:t>Equipping the Future Nutrition Workforce for a Sustainable Future: An analysis of the tertiary education opportunities for Australian nutrition and dietetics students to learn about the environment, food systems and food sustainability</w:t>
      </w:r>
    </w:p>
    <w:p w14:paraId="5B2C8FD5" w14:textId="77777777" w:rsidR="0048524B" w:rsidRDefault="0048524B">
      <w:r>
        <w:rPr>
          <w:noProof/>
        </w:rPr>
        <w:t>The global food system is broken. Nutritionists and dietitians have the potential to take leadership in advocating for sustainable food systems. There is uncertainty about the extent to which nutrition and dietetics students are being equipped with the knowledge and practical skills to contribute to solving food system problems. This study aims to describe how widely and to what depth modules about the environment, food systems and food sustainability are included in higher education for nutrition and dietetics students in Australia using educational models of learning, assessment and competence. An online search identified Australian degrees where graduates are eligible to become accredited dietitians or nutritionists. Modules within these degrees with titles related to sustainable food systems were identified and an online survey was sent to teaching staff of these modules. Descriptive analysis of survey data examined the learning outcomes (using Bloom’s revised taxonomy) and assessment methods (using Miller’s prism of clinical competence). Of 130 identified degrees, 8% (n=9) included modules (n=16) about the sustainable food systems. The majority of learning outcomes (88%, n=56) were in the cognitive domain of Bloom’s revised taxonomy, with the highest percentage at level four ‘analysing’. The psychomotor and affective domains had only level one learning outcomes. The majority of assessment methods (56%, n=9) were at the ‘shows’ level with no assessments at the ‘does’ level of Miller’s prism. In light of growing environmental challenges on our food system, Australia’s future nutrition workforce requires higher education opportunities that prioritise higher-order learning and assessment related to sustainable food systems.</w:t>
      </w:r>
    </w:p>
    <w:p w14:paraId="5796C075" w14:textId="77777777" w:rsidR="0048524B" w:rsidRDefault="0048524B"/>
    <w:p w14:paraId="4D623FCA" w14:textId="26E11245" w:rsidR="0048524B" w:rsidRDefault="0048524B">
      <w:r w:rsidRPr="002E1C1E">
        <w:rPr>
          <w:b/>
          <w:noProof/>
        </w:rPr>
        <w:t>Madeline</w:t>
      </w:r>
      <w:r w:rsidRPr="008357DE">
        <w:rPr>
          <w:b/>
        </w:rPr>
        <w:t xml:space="preserve"> </w:t>
      </w:r>
      <w:r w:rsidRPr="002E1C1E">
        <w:rPr>
          <w:b/>
          <w:noProof/>
        </w:rPr>
        <w:t>Luke</w:t>
      </w:r>
      <w:r w:rsidRPr="008357DE">
        <w:rPr>
          <w:b/>
        </w:rPr>
        <w:t xml:space="preserve"> </w:t>
      </w:r>
      <w:r>
        <w:rPr>
          <w:b/>
        </w:rPr>
        <w:t xml:space="preserve"> </w:t>
      </w:r>
      <w:r w:rsidRPr="008357DE">
        <w:t>(</w:t>
      </w:r>
      <w:r>
        <w:rPr>
          <w:noProof/>
        </w:rPr>
        <w:t>Monash University Australia</w:t>
      </w:r>
      <w:r w:rsidR="006F789B">
        <w:t>)</w:t>
      </w:r>
    </w:p>
    <w:p w14:paraId="4D3608D1" w14:textId="77777777" w:rsidR="0048524B" w:rsidRDefault="0048524B">
      <w:pPr>
        <w:rPr>
          <w:i/>
        </w:rPr>
      </w:pPr>
      <w:r w:rsidRPr="002E1C1E">
        <w:rPr>
          <w:i/>
          <w:noProof/>
        </w:rPr>
        <w:t>Coming out of Reluctance: Supporting LGBT+ educators to promote inclusivity among students</w:t>
      </w:r>
    </w:p>
    <w:p w14:paraId="2CFD0B00" w14:textId="77777777" w:rsidR="0048524B" w:rsidRDefault="0048524B" w:rsidP="00AC7DBF">
      <w:pPr>
        <w:rPr>
          <w:noProof/>
        </w:rPr>
      </w:pPr>
      <w:r>
        <w:rPr>
          <w:noProof/>
        </w:rPr>
        <w:t>In the aftermath of the Marriage Equality vote and the backlash towards the Safe Schools programme, it is critical to understand the current climate of LGBT+ issues in Australia and the impacts on the educational landscape. Despite schools improving their inclusionary practices in areas such as ethnicity and disability in recent years, LGBT+ students remain significantly marginalised. A widespread reluctance of schools to address LGBT+ issues, such as bullying, compromises students’ wellbeing, often to the point of breaching the AITSL standards that all Australian teachers must follow. Furthermore, feeling unwelcome in their schooling community prevents students from achieving well academically (Vaz et al., 2015), magnifying the negative consequences on their development.</w:t>
      </w:r>
    </w:p>
    <w:p w14:paraId="029BC703" w14:textId="77777777" w:rsidR="0048524B" w:rsidRDefault="0048524B">
      <w:r>
        <w:rPr>
          <w:noProof/>
        </w:rPr>
        <w:t>Previous research has highlighted the importance of adequate teaching training (Fletcher and Russell, 2001; Rands, 2009) and the presence of comfortable LGBT+ staff within a school (Porta et al., 2017). My literature review seeks to understand the experience of LGBT+ educators and how they may be best supported in their workplace. I argue that without adequate support for them, significantly improving LGBT+ inclusion will be impossible, as it is these very educators who are most capable of propelling the movement forwards.</w:t>
      </w:r>
    </w:p>
    <w:p w14:paraId="673B16B4" w14:textId="0221EEF1" w:rsidR="0048524B" w:rsidRDefault="0048524B">
      <w:r w:rsidRPr="002E1C1E">
        <w:rPr>
          <w:b/>
          <w:noProof/>
        </w:rPr>
        <w:lastRenderedPageBreak/>
        <w:t>Amanda Soo Li Xin</w:t>
      </w:r>
      <w:r w:rsidRPr="008357DE">
        <w:rPr>
          <w:b/>
        </w:rPr>
        <w:t xml:space="preserve">  </w:t>
      </w:r>
      <w:r>
        <w:rPr>
          <w:b/>
        </w:rPr>
        <w:t xml:space="preserve"> </w:t>
      </w:r>
      <w:r w:rsidRPr="008357DE">
        <w:t>(</w:t>
      </w:r>
      <w:r>
        <w:rPr>
          <w:noProof/>
        </w:rPr>
        <w:t>NTU</w:t>
      </w:r>
      <w:r w:rsidR="006F789B">
        <w:t>)</w:t>
      </w:r>
    </w:p>
    <w:p w14:paraId="60E2F68B" w14:textId="77777777" w:rsidR="0048524B" w:rsidRDefault="0048524B">
      <w:pPr>
        <w:rPr>
          <w:i/>
        </w:rPr>
      </w:pPr>
      <w:r w:rsidRPr="002E1C1E">
        <w:rPr>
          <w:i/>
          <w:noProof/>
        </w:rPr>
        <w:t>The Effectiveness of Process Drama in the Teaching of 21st Century Competencies in Secondary School Art Lessons: Teacher trainee perspectives</w:t>
      </w:r>
    </w:p>
    <w:p w14:paraId="7E1915B3" w14:textId="77777777" w:rsidR="0048524B" w:rsidRDefault="0048524B" w:rsidP="00AC7DBF">
      <w:pPr>
        <w:rPr>
          <w:noProof/>
        </w:rPr>
      </w:pPr>
      <w:r>
        <w:rPr>
          <w:noProof/>
        </w:rPr>
        <w:t>Since 2011, Singapore’s ‘Student Centric Values-Driven Education’ has emphasised the cultivation of character values – preceding academic emphasis. In considering the possibility of equipping teachers in the classroom with a pedagogy that seamlessly ties in curriculum delivery and character building within lessons, this research looks into the teaching of 21st Century Competencies which emerges through an art curriculum that has been delivered using Process Drama. Process Drama – an improvisational drama – is a method which involves the teacher as mediator, facilitating students to navigate through fictionalised scenarios in order to problem solve and enable learning using embodied exploration and reflexive thinking. To investigate the effectiveness of this approach, a Process Drama workshop was conducted with four Art trainee teachers from the National Institute of Education. In the post-workshop interview, the participants displayed positive receptivity to this mode of character development. The findings ascertained that the participants agreed on the effectiveness of Process Drama emerging through the art curriculum to develop 21st Century Competencies in students. Given proper training, they will confidently carry out this pedagogy and facilitate this if the school provides time and support in the creation of lesson resources. As a practical solution to developing the whole person, the paper suggests ways in which the future of Singapore Art education can support this new mode of curriculum focused on instilling the right character and values.</w:t>
      </w:r>
    </w:p>
    <w:p w14:paraId="236260C0" w14:textId="77777777" w:rsidR="0048524B" w:rsidRDefault="0048524B">
      <w:r>
        <w:rPr>
          <w:noProof/>
        </w:rPr>
        <w:t>Keywords: Singapore, student centric values-driven education, 21st Century Competencies, Process Drama, art curriculum, problem solve, embodied exploration, reflexive thinking, curriculum, character, values</w:t>
      </w:r>
    </w:p>
    <w:p w14:paraId="10266ECF" w14:textId="77777777" w:rsidR="0048524B" w:rsidRDefault="0048524B"/>
    <w:p w14:paraId="2D75B27F" w14:textId="04F33730" w:rsidR="0048524B" w:rsidRDefault="0048524B">
      <w:r w:rsidRPr="002E1C1E">
        <w:rPr>
          <w:b/>
          <w:noProof/>
        </w:rPr>
        <w:t>Chan Wei Ling Jane</w:t>
      </w:r>
      <w:r w:rsidRPr="008357DE">
        <w:rPr>
          <w:b/>
        </w:rPr>
        <w:t xml:space="preserve">  </w:t>
      </w:r>
      <w:r>
        <w:rPr>
          <w:b/>
        </w:rPr>
        <w:t xml:space="preserve"> </w:t>
      </w:r>
      <w:r w:rsidRPr="008357DE">
        <w:t>(</w:t>
      </w:r>
      <w:r>
        <w:rPr>
          <w:noProof/>
        </w:rPr>
        <w:t>NTU</w:t>
      </w:r>
      <w:r w:rsidR="006F789B">
        <w:t>)</w:t>
      </w:r>
    </w:p>
    <w:p w14:paraId="174D8DED" w14:textId="77777777" w:rsidR="0048524B" w:rsidRDefault="0048524B">
      <w:pPr>
        <w:rPr>
          <w:i/>
        </w:rPr>
      </w:pPr>
      <w:r w:rsidRPr="002E1C1E">
        <w:rPr>
          <w:i/>
          <w:noProof/>
        </w:rPr>
        <w:t>Grammar Pedagogy in Primary Schools</w:t>
      </w:r>
    </w:p>
    <w:p w14:paraId="154A8422" w14:textId="77777777" w:rsidR="0048524B" w:rsidRDefault="0048524B">
      <w:r>
        <w:rPr>
          <w:noProof/>
        </w:rPr>
        <w:t xml:space="preserve">In spite of the national literacy reform programme, whereby grammar is taught through a combination of deductive and inductive approaches and supported by context and with activities, many language teachers in Singapore still feel that the traditional explicit grammar instruction accompanied with multiple practice exercises (e.g. ‘drill-and-practice’ instructional mode) is much more effective; however, this is contrary to the research literature on grammar pedagogy (Ellis, 2006).This paper will explore the social and contextual factors of the English language (EL) classroom reality in Singapore, teachers’ attitudes (Andrew, 2001; Borg, 1997) as well as their subject, content and professional knowledge – for example, the Teachers’ Language Awareness. In the literature of grammar pedagogy, it is often said that the teachers’ awareness and beliefs impact their pedagogical choices. This paper thus aims to explore the following: How grammar is being taught in the EL classrooms in Singapore? Why is grammar taught the way it currently is? A case study approach was adopted in this exploratory study. Four teachers from an established primary school were surveyed and interviewed. The findings revealed that, while seeking a balance in the different grammar pedagogical stances, teachers generally considered explicit teaching of grammar indispensable. Even though the teachers acknowledged the importance of contextualised grammar teaching, their perceptions of the role of grammar, their experiences as a student and teacher learning grammar, and finally their understanding of their learners all play a part in informing their grammar </w:t>
      </w:r>
      <w:r>
        <w:rPr>
          <w:noProof/>
        </w:rPr>
        <w:lastRenderedPageBreak/>
        <w:t>pedagogical choices. This paper concludes with possible exploration into other grammar pedagogy, such as implicit grammar learning.</w:t>
      </w:r>
    </w:p>
    <w:p w14:paraId="66BBC751" w14:textId="77777777" w:rsidR="0048524B" w:rsidRDefault="0048524B"/>
    <w:p w14:paraId="5699FEBD" w14:textId="77777777" w:rsidR="006F789B" w:rsidRDefault="006F789B">
      <w:pPr>
        <w:rPr>
          <w:b/>
          <w:noProof/>
        </w:rPr>
      </w:pPr>
      <w:r>
        <w:rPr>
          <w:b/>
          <w:noProof/>
        </w:rPr>
        <w:br w:type="page"/>
      </w:r>
    </w:p>
    <w:p w14:paraId="49B4AB85" w14:textId="4FF63D30" w:rsidR="006F789B" w:rsidRDefault="006F789B" w:rsidP="006F789B">
      <w:pPr>
        <w:pStyle w:val="Heading1"/>
      </w:pPr>
      <w:r>
        <w:lastRenderedPageBreak/>
        <w:t xml:space="preserve">Panel 5E: </w:t>
      </w:r>
      <w:r w:rsidRPr="006F789B">
        <w:t>Environment and Sustainability</w:t>
      </w:r>
    </w:p>
    <w:p w14:paraId="3496333B" w14:textId="77777777" w:rsidR="006F789B" w:rsidRPr="006F789B" w:rsidRDefault="006F789B" w:rsidP="006F789B"/>
    <w:p w14:paraId="4CDA6CC1" w14:textId="607B3926" w:rsidR="0048524B" w:rsidRDefault="0048524B">
      <w:r w:rsidRPr="002E1C1E">
        <w:rPr>
          <w:b/>
          <w:noProof/>
        </w:rPr>
        <w:t>Suet Lin</w:t>
      </w:r>
      <w:r w:rsidRPr="008357DE">
        <w:rPr>
          <w:b/>
        </w:rPr>
        <w:t xml:space="preserve"> </w:t>
      </w:r>
      <w:r w:rsidRPr="002E1C1E">
        <w:rPr>
          <w:b/>
          <w:noProof/>
        </w:rPr>
        <w:t>Leong</w:t>
      </w:r>
      <w:r w:rsidRPr="008357DE">
        <w:rPr>
          <w:b/>
        </w:rPr>
        <w:t xml:space="preserve"> </w:t>
      </w:r>
      <w:r>
        <w:rPr>
          <w:b/>
        </w:rPr>
        <w:t xml:space="preserve"> </w:t>
      </w:r>
      <w:r w:rsidRPr="008357DE">
        <w:t>(</w:t>
      </w:r>
      <w:r>
        <w:rPr>
          <w:noProof/>
        </w:rPr>
        <w:t>Monash University Malaysia</w:t>
      </w:r>
      <w:r w:rsidR="006F789B">
        <w:t>)</w:t>
      </w:r>
    </w:p>
    <w:p w14:paraId="728B0B64" w14:textId="77777777" w:rsidR="0048524B" w:rsidRDefault="0048524B">
      <w:pPr>
        <w:rPr>
          <w:i/>
        </w:rPr>
      </w:pPr>
      <w:r w:rsidRPr="002E1C1E">
        <w:rPr>
          <w:i/>
          <w:noProof/>
        </w:rPr>
        <w:t>The Potential Use of Waste Cooking Oil as the Raw Material for Biodiesel Production</w:t>
      </w:r>
    </w:p>
    <w:p w14:paraId="5B40EF04" w14:textId="77777777" w:rsidR="0048524B" w:rsidRDefault="0048524B">
      <w:r>
        <w:rPr>
          <w:noProof/>
        </w:rPr>
        <w:t>With the rapid depletion of fossil fuels as well as increasing demand in their supply, and the impact of climate change becoming an increasing concern around the world, investigating alternative ways to power our society is crucial. Biodiesel is an alternative to fossil fuels as the combustion of biodiesel does not produce waste pollutants, thus it is environmentally friendly. Biodiesel can be synthesised by reacting triglycerides (the main constituent of natural fats and oils) with either ethanol or methanol, in the presence of a catalyst, in a transesterification reaction. Currently, clean cooking oil is used as a feedstock for biodiesel production; however, the cost is higher than the selling price of biodiesel, which is not economically sustainable. This research proposes waste cooking oil as an alternative feedstock for the biodiesel production. The use of waste cooking oil has the added benefit of utilising what would be a waste product and adding value to it, hence reducing the strain on the earth’s resources. However, the structure of oil will change when it is used during cooking, which affects the biodiesel production. I aim to analyse and compare the quality of biodiesel produced from waste cooking oil with that of clean cooking oil based on several properties: density, viscosity and cloud point (the temperature at which wax begins to separate when the oil is chilled to a low temperature). The interpretation of the results would draw a conclusion as to whether biodiesel from waste cooking oil as an energy source is feasible.</w:t>
      </w:r>
    </w:p>
    <w:p w14:paraId="651E57AC" w14:textId="77777777" w:rsidR="0048524B" w:rsidRDefault="0048524B"/>
    <w:p w14:paraId="58165EEA" w14:textId="7591D1F5" w:rsidR="0048524B" w:rsidRDefault="0048524B">
      <w:r w:rsidRPr="002E1C1E">
        <w:rPr>
          <w:b/>
          <w:noProof/>
        </w:rPr>
        <w:t>Chan Ee Eugene</w:t>
      </w:r>
      <w:r w:rsidRPr="008357DE">
        <w:rPr>
          <w:b/>
        </w:rPr>
        <w:t xml:space="preserve"> </w:t>
      </w:r>
      <w:r w:rsidRPr="002E1C1E">
        <w:rPr>
          <w:b/>
          <w:noProof/>
        </w:rPr>
        <w:t>Ng</w:t>
      </w:r>
      <w:r w:rsidRPr="008357DE">
        <w:rPr>
          <w:b/>
        </w:rPr>
        <w:t xml:space="preserve"> </w:t>
      </w:r>
      <w:r>
        <w:rPr>
          <w:b/>
        </w:rPr>
        <w:t xml:space="preserve"> </w:t>
      </w:r>
      <w:r w:rsidRPr="008357DE">
        <w:t>(</w:t>
      </w:r>
      <w:r>
        <w:rPr>
          <w:noProof/>
        </w:rPr>
        <w:t>Monash University Malaysia</w:t>
      </w:r>
      <w:r w:rsidR="006F789B">
        <w:t>)</w:t>
      </w:r>
    </w:p>
    <w:p w14:paraId="6D441364" w14:textId="77777777" w:rsidR="0048524B" w:rsidRDefault="0048524B">
      <w:pPr>
        <w:rPr>
          <w:i/>
        </w:rPr>
      </w:pPr>
      <w:r w:rsidRPr="002E1C1E">
        <w:rPr>
          <w:i/>
          <w:noProof/>
        </w:rPr>
        <w:t>A Promising Method of Utilising Natural Rubber for the Production of Petroleum</w:t>
      </w:r>
    </w:p>
    <w:p w14:paraId="67A8E21B" w14:textId="77777777" w:rsidR="0048524B" w:rsidRDefault="0048524B">
      <w:r>
        <w:rPr>
          <w:noProof/>
        </w:rPr>
        <w:t>Fossil fuel, a non-renewable resource, is the dominant form of energy that is consumed in electricity generation, transportation and industrial activities. The largest source of energy is petroleum, and its consumption rate is increasing every year. Eventually, it will run out and humanity will lose the energy source to power society. Technology has evolved in the past few decades to improve energy efficiencies and alternative sources of energy are being explored to cut down the usage of fossil fuel. This research proposes a green and innovative idea to produce different grades of petroleum-derived from natural rubber. Research is performed through a literature review to explore the various chemical processes involved in the production of petroleum from natural rubber. Natural rubber is a tropical plantation crop that is chemically comprised of isoprene, a chemical compound that consists of five carbon atoms and eight hydrogen atoms. Natural rubber can be converted into a liquid through hydrous pyrolysis, which is a process that uses water at high temperature and pressure. Different grades of liquid petroleum are produced through a process of cross metathesis. The liquid formed is composed of molecules with fewer than five carbon atoms, which are combined to produce a long chain hydrocarbon petroleum. Following this, a hydrogenation process is carried out whereby hydrogen atoms are added to the long chain hydrocarbon petroleum to produce different grades of liquid petroleum. Thus, petroleum-derived from natural rubber can be the next great fuel that can power the future.</w:t>
      </w:r>
    </w:p>
    <w:p w14:paraId="54F70C89" w14:textId="77777777" w:rsidR="0048524B" w:rsidRDefault="0048524B"/>
    <w:p w14:paraId="5257C7E3" w14:textId="77777777" w:rsidR="006F789B" w:rsidRDefault="006F789B">
      <w:pPr>
        <w:rPr>
          <w:b/>
          <w:noProof/>
        </w:rPr>
      </w:pPr>
    </w:p>
    <w:p w14:paraId="24A8BEBC" w14:textId="1BBA3A35" w:rsidR="0048524B" w:rsidRDefault="0048524B">
      <w:r w:rsidRPr="002E1C1E">
        <w:rPr>
          <w:b/>
          <w:noProof/>
        </w:rPr>
        <w:lastRenderedPageBreak/>
        <w:t>Nicola</w:t>
      </w:r>
      <w:r w:rsidRPr="008357DE">
        <w:rPr>
          <w:b/>
        </w:rPr>
        <w:t xml:space="preserve"> </w:t>
      </w:r>
      <w:r w:rsidRPr="002E1C1E">
        <w:rPr>
          <w:b/>
          <w:noProof/>
        </w:rPr>
        <w:t>Blasetti</w:t>
      </w:r>
      <w:r w:rsidRPr="008357DE">
        <w:rPr>
          <w:b/>
        </w:rPr>
        <w:t xml:space="preserve"> </w:t>
      </w:r>
      <w:r>
        <w:rPr>
          <w:b/>
        </w:rPr>
        <w:t xml:space="preserve"> </w:t>
      </w:r>
      <w:r w:rsidRPr="008357DE">
        <w:t>(</w:t>
      </w:r>
      <w:r>
        <w:rPr>
          <w:noProof/>
        </w:rPr>
        <w:t>University of Warwick</w:t>
      </w:r>
      <w:r w:rsidR="006F789B">
        <w:t>)</w:t>
      </w:r>
    </w:p>
    <w:p w14:paraId="78A9F967" w14:textId="77777777" w:rsidR="0048524B" w:rsidRDefault="0048524B">
      <w:pPr>
        <w:rPr>
          <w:i/>
        </w:rPr>
      </w:pPr>
      <w:r w:rsidRPr="002E1C1E">
        <w:rPr>
          <w:i/>
          <w:noProof/>
        </w:rPr>
        <w:t>Climate Action in Europe: The costs of climate change and the necessity for adaptation in the EU Member States</w:t>
      </w:r>
    </w:p>
    <w:p w14:paraId="2BD1CCB8" w14:textId="77777777" w:rsidR="0048524B" w:rsidRDefault="0048524B">
      <w:r>
        <w:rPr>
          <w:noProof/>
        </w:rPr>
        <w:t>The aims of this paper are to research the climate-related vulnerabilities of EU Member States and to analyse whether these States are collecting, monitoring and providing enough data on the risks to the impacts of climate change. Using the European Environment Agency (EEA) data, this research builds a view of the vulnerability of European countries from a regional perspective. This data, together with the scientific research coming from the International Panel on Climate Change (IPCC) 1.5 report, forms a quantitative base for the assessment of the threats posed by climate-related extreme weather events to European countries from a regional perspective. The paper analyses the countries’ level of preparedness to climate change from both a quantitative and qualitative position, if the increase of 1.5°C above pre-industrial levels (as stated in the Paris Agreement) became reality. This research, therefore, shows the vulnerability of Europe to a 1.5°C increase in order to promote the deployment of more ambitious interventions.</w:t>
      </w:r>
    </w:p>
    <w:p w14:paraId="2AA782B1" w14:textId="77777777" w:rsidR="0048524B" w:rsidRDefault="0048524B"/>
    <w:p w14:paraId="774D7D97" w14:textId="183A9D88" w:rsidR="0048524B" w:rsidRDefault="0048524B">
      <w:r w:rsidRPr="002E1C1E">
        <w:rPr>
          <w:b/>
          <w:noProof/>
        </w:rPr>
        <w:t>Constance</w:t>
      </w:r>
      <w:r w:rsidRPr="008357DE">
        <w:rPr>
          <w:b/>
        </w:rPr>
        <w:t xml:space="preserve"> </w:t>
      </w:r>
      <w:r w:rsidRPr="002E1C1E">
        <w:rPr>
          <w:b/>
          <w:noProof/>
        </w:rPr>
        <w:t>Frohly</w:t>
      </w:r>
      <w:r w:rsidRPr="008357DE">
        <w:rPr>
          <w:b/>
        </w:rPr>
        <w:t xml:space="preserve"> </w:t>
      </w:r>
      <w:r>
        <w:rPr>
          <w:b/>
        </w:rPr>
        <w:t xml:space="preserve"> </w:t>
      </w:r>
      <w:r w:rsidRPr="008357DE">
        <w:t>(</w:t>
      </w:r>
      <w:r>
        <w:rPr>
          <w:noProof/>
        </w:rPr>
        <w:t>University of Warwick</w:t>
      </w:r>
      <w:r w:rsidR="006F789B">
        <w:t>)</w:t>
      </w:r>
    </w:p>
    <w:p w14:paraId="72D7FA05" w14:textId="77777777" w:rsidR="0048524B" w:rsidRDefault="0048524B">
      <w:pPr>
        <w:rPr>
          <w:i/>
        </w:rPr>
      </w:pPr>
      <w:r w:rsidRPr="002E1C1E">
        <w:rPr>
          <w:i/>
          <w:noProof/>
        </w:rPr>
        <w:t>Understanding Inequalities in Multi-Cultural Cities as a Dynamic Process</w:t>
      </w:r>
    </w:p>
    <w:p w14:paraId="629F8EDF" w14:textId="77777777" w:rsidR="0048524B" w:rsidRDefault="0048524B" w:rsidP="00AC7DBF">
      <w:pPr>
        <w:rPr>
          <w:noProof/>
        </w:rPr>
      </w:pPr>
      <w:r>
        <w:rPr>
          <w:noProof/>
        </w:rPr>
        <w:t>Since the beginning of globalisation, the number of migrants has more than tripled worldwide (World Bank Data, 2012), especially in multi-cultural megacities such as London. The city hosts the majority of immigrants in the UK (36 per cent) and almost half of Inner London’s population (41 per cent) is foreign-born (The Migration Observatory, 2015). In the context of significant waves of immigration in Europe recently, governments worry about immigrants’ ability to integrate into society and the impact on social inequalities. Successful integration is key to an inclusive sustainable development according to the United Nations’ Sustainable Development Goals (UN, 2017).</w:t>
      </w:r>
    </w:p>
    <w:p w14:paraId="1E38E0FF" w14:textId="77777777" w:rsidR="0048524B" w:rsidRDefault="0048524B" w:rsidP="00AC7DBF">
      <w:pPr>
        <w:rPr>
          <w:noProof/>
        </w:rPr>
      </w:pPr>
      <w:r>
        <w:rPr>
          <w:noProof/>
        </w:rPr>
        <w:t>Individuals with parents of different ethnicities ‘are more likely to live in integrated neighbourhoods than in homogenous concentrations of either of their parental races or ethnicities’. Building on Clark and Fosset’s work (2008), this paper asks whether a higher ethnical diversity driven by immigration improves the ability of minorities to integrate into society.</w:t>
      </w:r>
    </w:p>
    <w:p w14:paraId="071C6444" w14:textId="77777777" w:rsidR="0048524B" w:rsidRDefault="0048524B">
      <w:r>
        <w:rPr>
          <w:noProof/>
        </w:rPr>
        <w:t>My research compares data from the Office of National Statistics and the results of a computer simulation on NetLogo inspired by the Schelling’s model of spatial segregation (1971). I plan to design a model of individuals’ behaviours in a city like London under the influx of a high number of migrants, which then provides an estimate of the evolution of inequalities at the society level in the long run. An agent-based model is based on assumptions about people’s behaviours drawn from national statistics and then simulates the complex interactions between agents and the dynamic nature of inequalities (Miller and Scott, 2007).</w:t>
      </w:r>
    </w:p>
    <w:p w14:paraId="673F3F12" w14:textId="77777777" w:rsidR="0048524B" w:rsidRDefault="0048524B"/>
    <w:p w14:paraId="601CCDA9" w14:textId="77777777" w:rsidR="006F789B" w:rsidRDefault="006F789B">
      <w:pPr>
        <w:rPr>
          <w:b/>
          <w:noProof/>
        </w:rPr>
      </w:pPr>
      <w:r>
        <w:rPr>
          <w:b/>
          <w:noProof/>
        </w:rPr>
        <w:br w:type="page"/>
      </w:r>
    </w:p>
    <w:p w14:paraId="4F3661DD" w14:textId="15CBEFE4" w:rsidR="006F789B" w:rsidRDefault="006F789B" w:rsidP="006F789B">
      <w:pPr>
        <w:pStyle w:val="Heading1"/>
      </w:pPr>
      <w:r>
        <w:lastRenderedPageBreak/>
        <w:t xml:space="preserve">Panel 5F: </w:t>
      </w:r>
      <w:r w:rsidRPr="006F789B">
        <w:t>Applications for Modern Technologies</w:t>
      </w:r>
    </w:p>
    <w:p w14:paraId="4BBEAA56" w14:textId="77777777" w:rsidR="006F789B" w:rsidRPr="006F789B" w:rsidRDefault="006F789B" w:rsidP="006F789B"/>
    <w:p w14:paraId="0063827D" w14:textId="5711E149" w:rsidR="0048524B" w:rsidRDefault="0048524B">
      <w:r w:rsidRPr="002E1C1E">
        <w:rPr>
          <w:b/>
          <w:noProof/>
        </w:rPr>
        <w:t>Samuel Jior Parluhutan</w:t>
      </w:r>
      <w:r w:rsidRPr="008357DE">
        <w:rPr>
          <w:b/>
        </w:rPr>
        <w:t xml:space="preserve">  </w:t>
      </w:r>
      <w:r>
        <w:rPr>
          <w:b/>
        </w:rPr>
        <w:t xml:space="preserve"> </w:t>
      </w:r>
      <w:r w:rsidRPr="008357DE">
        <w:t>(</w:t>
      </w:r>
      <w:r>
        <w:rPr>
          <w:noProof/>
        </w:rPr>
        <w:t>NTU</w:t>
      </w:r>
      <w:r w:rsidR="006F789B">
        <w:t>)</w:t>
      </w:r>
    </w:p>
    <w:p w14:paraId="0491ACF0" w14:textId="77777777" w:rsidR="0048524B" w:rsidRDefault="0048524B">
      <w:pPr>
        <w:rPr>
          <w:i/>
        </w:rPr>
      </w:pPr>
      <w:r w:rsidRPr="002E1C1E">
        <w:rPr>
          <w:i/>
          <w:noProof/>
        </w:rPr>
        <w:t>A Flexible Temperature Sensor as a Wearable Device for Continuous Body Monitoring</w:t>
      </w:r>
    </w:p>
    <w:p w14:paraId="63A41727" w14:textId="77777777" w:rsidR="0048524B" w:rsidRDefault="0048524B">
      <w:r>
        <w:rPr>
          <w:noProof/>
        </w:rPr>
        <w:t>The rising interest in wearable technology due to its diverse potential applications in healthcare is responsible for advancement in sensing and wireless communication technology. Continuous monitoring of human vitals requires sensors to be flexible and sensitive to physical stimuli. As temperature is one of the main vitals of the body, a flexible temperature sensor was realised. A study was then performed to optimise the temperature sensor in terms of sensitivity and measurement range. The measured temperature data was transmitted using Arduino to a mobile device over Bluetooth communication. The transferred data was then displayed and stored using a mobile application that was developed in-house specifically for temperature monitoring. The flexible temperature sensor was realised with PEDOT:PSS thin film and PEDOT:PSS + MoS2 composite thin film. The change in resistance was inversely proportional to temperature. The curing temperature of PEDOT:PSS 200°C gave a significant resistance decrease within a temperature range of 25°C to 35°C (4.57 per cent) compared to 25°C to 100°C (0.73 per cent) for PEDOT:PSS thin film.</w:t>
      </w:r>
    </w:p>
    <w:p w14:paraId="29192293" w14:textId="77777777" w:rsidR="0048524B" w:rsidRDefault="0048524B"/>
    <w:p w14:paraId="44502836" w14:textId="68AB340F" w:rsidR="0048524B" w:rsidRDefault="0048524B">
      <w:r w:rsidRPr="002E1C1E">
        <w:rPr>
          <w:b/>
          <w:noProof/>
        </w:rPr>
        <w:t>Augustina</w:t>
      </w:r>
      <w:r w:rsidRPr="008357DE">
        <w:rPr>
          <w:b/>
        </w:rPr>
        <w:t xml:space="preserve"> </w:t>
      </w:r>
      <w:r w:rsidRPr="002E1C1E">
        <w:rPr>
          <w:b/>
          <w:noProof/>
        </w:rPr>
        <w:t>Adjei</w:t>
      </w:r>
      <w:r w:rsidRPr="008357DE">
        <w:rPr>
          <w:b/>
        </w:rPr>
        <w:t xml:space="preserve"> </w:t>
      </w:r>
      <w:r>
        <w:rPr>
          <w:b/>
        </w:rPr>
        <w:t xml:space="preserve"> </w:t>
      </w:r>
      <w:r w:rsidRPr="008357DE">
        <w:t>(</w:t>
      </w:r>
      <w:r>
        <w:rPr>
          <w:noProof/>
        </w:rPr>
        <w:t>University of Warwick</w:t>
      </w:r>
      <w:r w:rsidR="006F789B">
        <w:t>)</w:t>
      </w:r>
    </w:p>
    <w:p w14:paraId="52236C0B" w14:textId="77777777" w:rsidR="0048524B" w:rsidRDefault="0048524B">
      <w:pPr>
        <w:rPr>
          <w:i/>
        </w:rPr>
      </w:pPr>
      <w:r w:rsidRPr="002E1C1E">
        <w:rPr>
          <w:i/>
          <w:noProof/>
        </w:rPr>
        <w:t>Technology and its Integration into Africa: How AI and other emerging technologies can be used to improve less economically developed countries within the healthcare and financial sector</w:t>
      </w:r>
    </w:p>
    <w:p w14:paraId="33F4C653" w14:textId="77777777" w:rsidR="0048524B" w:rsidRDefault="0048524B" w:rsidP="00AC7DBF">
      <w:pPr>
        <w:rPr>
          <w:noProof/>
        </w:rPr>
      </w:pPr>
      <w:r>
        <w:rPr>
          <w:noProof/>
        </w:rPr>
        <w:t>Modern technologies tend to be engineered for the UK, US and Canada. The technological development in less economically developed countries (LEDCs) is slow and will not be able to sustain or equip them for the future years, restricting their access to life-saving technologies and financial advancement. It is important to be able to leverage artificial intelligence, internet of things and blockchain, as well as many different technologies within LEDCs, as this will help countries to advance and improve the lives of millions of their citizens. This research paper aims to identify ways to change this, allowing there to be a bridge between new technologies, healthcare and LEDCs.</w:t>
      </w:r>
    </w:p>
    <w:p w14:paraId="5069404F" w14:textId="77777777" w:rsidR="0048524B" w:rsidRDefault="0048524B" w:rsidP="00AC7DBF">
      <w:pPr>
        <w:rPr>
          <w:noProof/>
        </w:rPr>
      </w:pPr>
      <w:r>
        <w:rPr>
          <w:noProof/>
        </w:rPr>
        <w:t>This project helps to bridge the gap between new technologies and the developing world, exploring two of the most developing fields within the scope of technology – healthcare and finance. It will look at new technologies present in the Western world, as well as technological trends across the globe, and present findings on ways to leverage these skills in Ghana as a case study in an attempt to make them more financially viable and to improve patient care and wellbeing across the healthcare sector.</w:t>
      </w:r>
    </w:p>
    <w:p w14:paraId="70D4EE96" w14:textId="77777777" w:rsidR="0048524B" w:rsidRDefault="0048524B">
      <w:r>
        <w:rPr>
          <w:noProof/>
        </w:rPr>
        <w:t>With the help of investment bankers, SMEs and doctors across the African and South-East Asian continents through interviews and video responses, I will be conducting interviews and collecting data on how technology has advanced within the Western world in comparison to Africa as a whole, with specific focus on Ghana. I aim to highlight the current issues with technology within these fields and propose ways to improve it.</w:t>
      </w:r>
    </w:p>
    <w:p w14:paraId="33D1F32B" w14:textId="77777777" w:rsidR="0048524B" w:rsidRDefault="0048524B"/>
    <w:p w14:paraId="3ACFB842" w14:textId="77777777" w:rsidR="006F789B" w:rsidRDefault="006F789B">
      <w:pPr>
        <w:rPr>
          <w:b/>
          <w:noProof/>
        </w:rPr>
      </w:pPr>
      <w:r>
        <w:rPr>
          <w:b/>
          <w:noProof/>
        </w:rPr>
        <w:br w:type="page"/>
      </w:r>
    </w:p>
    <w:p w14:paraId="186A8A12" w14:textId="5381EF8C" w:rsidR="0048524B" w:rsidRDefault="0048524B">
      <w:r w:rsidRPr="002E1C1E">
        <w:rPr>
          <w:b/>
          <w:noProof/>
        </w:rPr>
        <w:lastRenderedPageBreak/>
        <w:t>Ellen May</w:t>
      </w:r>
      <w:r w:rsidRPr="008357DE">
        <w:rPr>
          <w:b/>
        </w:rPr>
        <w:t xml:space="preserve"> </w:t>
      </w:r>
      <w:r w:rsidRPr="002E1C1E">
        <w:rPr>
          <w:b/>
          <w:noProof/>
        </w:rPr>
        <w:t>Humphreys</w:t>
      </w:r>
      <w:r w:rsidRPr="008357DE">
        <w:rPr>
          <w:b/>
        </w:rPr>
        <w:t xml:space="preserve"> </w:t>
      </w:r>
      <w:r>
        <w:rPr>
          <w:b/>
        </w:rPr>
        <w:t xml:space="preserve"> </w:t>
      </w:r>
      <w:r w:rsidRPr="008357DE">
        <w:t>(</w:t>
      </w:r>
      <w:r>
        <w:rPr>
          <w:noProof/>
        </w:rPr>
        <w:t>University of Warwick</w:t>
      </w:r>
      <w:r w:rsidR="006F789B">
        <w:t>)</w:t>
      </w:r>
    </w:p>
    <w:p w14:paraId="4A3F9906" w14:textId="77777777" w:rsidR="0048524B" w:rsidRDefault="0048524B">
      <w:pPr>
        <w:rPr>
          <w:i/>
        </w:rPr>
      </w:pPr>
      <w:r w:rsidRPr="002E1C1E">
        <w:rPr>
          <w:i/>
          <w:noProof/>
        </w:rPr>
        <w:t>The Politics of Technology: How can blockchain revolutionise governance as we know it?</w:t>
      </w:r>
    </w:p>
    <w:p w14:paraId="04DE55C6" w14:textId="77777777" w:rsidR="0048524B" w:rsidRDefault="0048524B">
      <w:r>
        <w:rPr>
          <w:noProof/>
        </w:rPr>
        <w:t>My project focuses on how technology can be a tool for politics. Blockchain, which underpins Bitcoin, is a technology that allows for information to be exchanged in a self-regulated, decentralised manner with all information being stored transparently. Imagine if politics could be decentralised and transparent by the same nature. My project, based in Switzerland, looks at new models which are being created using voting models and prediction markets to bring forwards a fresh outlook on politics. Other than Hanson’s paper of Futarchy, there is a gap in current literature on how decentralised governance could work. Prediction markets have been tried, and Ethereum has come up with probability models; however, the academic world has yet to find a model that would diminish the need for centralised power. Academics in Switzerland are currently building a ground-breaking voting system on blockchain that could change politics. For this paper, I will use interviews with École Polytechnique Fédérale de Lausanne (EPFL) professors who are at the heart of the new developments in Switzerland, analysis of prediction markets and secondary research into current papers on other models of decentralised governance. I hope to find an exciting model of governance by analysing the development in Switzerland and find evidence to suggest that blockchain technology could underpin politics. This could implicate current governance models. I hope this project can be useful for people to understand the power of technology and how ‘the wisdom of the crowd’ could overtake centralisation.</w:t>
      </w:r>
    </w:p>
    <w:p w14:paraId="608D3131" w14:textId="77777777" w:rsidR="0048524B" w:rsidRDefault="0048524B"/>
    <w:p w14:paraId="23A521B5" w14:textId="32F09B48" w:rsidR="0048524B" w:rsidRDefault="0048524B">
      <w:r w:rsidRPr="002E1C1E">
        <w:rPr>
          <w:b/>
          <w:noProof/>
        </w:rPr>
        <w:t>Kamal</w:t>
      </w:r>
      <w:r w:rsidRPr="008357DE">
        <w:rPr>
          <w:b/>
        </w:rPr>
        <w:t xml:space="preserve"> </w:t>
      </w:r>
      <w:r w:rsidRPr="002E1C1E">
        <w:rPr>
          <w:b/>
          <w:noProof/>
        </w:rPr>
        <w:t>Hamidi</w:t>
      </w:r>
      <w:r w:rsidRPr="008357DE">
        <w:rPr>
          <w:b/>
        </w:rPr>
        <w:t xml:space="preserve"> </w:t>
      </w:r>
      <w:r>
        <w:rPr>
          <w:b/>
        </w:rPr>
        <w:t xml:space="preserve"> </w:t>
      </w:r>
      <w:r w:rsidRPr="008357DE">
        <w:t>(</w:t>
      </w:r>
      <w:r>
        <w:rPr>
          <w:noProof/>
        </w:rPr>
        <w:t>University of Warwick</w:t>
      </w:r>
      <w:r w:rsidR="006F789B">
        <w:t>)</w:t>
      </w:r>
    </w:p>
    <w:p w14:paraId="110AEEBB" w14:textId="77777777" w:rsidR="0048524B" w:rsidRDefault="0048524B">
      <w:pPr>
        <w:rPr>
          <w:i/>
        </w:rPr>
      </w:pPr>
      <w:r w:rsidRPr="002E1C1E">
        <w:rPr>
          <w:i/>
          <w:noProof/>
        </w:rPr>
        <w:t>The Value of Cryptocurrencies to Diversification Purposes</w:t>
      </w:r>
    </w:p>
    <w:p w14:paraId="6B752478" w14:textId="77777777" w:rsidR="0048524B" w:rsidRDefault="0048524B" w:rsidP="00AC7DBF">
      <w:pPr>
        <w:rPr>
          <w:noProof/>
        </w:rPr>
      </w:pPr>
      <w:r>
        <w:rPr>
          <w:noProof/>
        </w:rPr>
        <w:t>The Introduction of Bitcoin trading at Goldman Sachs is reflective of cryptocurrencies becoming an intriguing investment choice, not only for the average investor but also for high-profile clients at financial institutions. However, presently the discussion and research on the value of Bitcoin as an asset lack consideration of it as an effective diversification tool. Also, large parts of the media narrative have been about its clash against fiat currency, despite major cryptocurrencies such as Bitcoin lacking the properties of real currency (i.e. medium of exchange and unit of account). The unique movement of cryptocurrency prices gives it potential to be used as an effective vehicle for diversification. Hence, this research primarily focuses on the potential cryptocurrencies have to reduce idiosyncratic risks in investors’ portfolios and how it can be used as a key tenet of a diversified investment strategy.</w:t>
      </w:r>
    </w:p>
    <w:p w14:paraId="0804F3B4" w14:textId="77777777" w:rsidR="0048524B" w:rsidRDefault="0048524B">
      <w:r>
        <w:rPr>
          <w:noProof/>
        </w:rPr>
        <w:t>The value of cryptocurrencies to diversification is premised by using investment portfolio theory literature to theorise the function of cryptocurrencies as a store of value. Next, this research uses modern portfolio-optimisation models to aid in quantifying the diversification benefits of cryptocurrencies. Specifically, the Treynor-Black model is used to compare and contrast portfolios with different Bitcoin compositions. In addition, the Markowitz model (with a bootstrapping approach to minimise estimation risk) is used to compare diversification benefits in instances where an individual invests into a few assets but still aims for efficient diversification. By using these models to estimate optimal portfolios under various investment scenarios, it is demonstrated quantitatively that Bitcoin can be combined with specific asset types (e.g. government bonds) to achieve efficient diversification.</w:t>
      </w:r>
    </w:p>
    <w:p w14:paraId="4105E747" w14:textId="77777777" w:rsidR="0048524B" w:rsidRDefault="0048524B"/>
    <w:p w14:paraId="2204C941" w14:textId="70F62F49" w:rsidR="006F789B" w:rsidRPr="006F789B" w:rsidRDefault="006F789B" w:rsidP="006F789B">
      <w:pPr>
        <w:pStyle w:val="Heading1"/>
      </w:pPr>
      <w:r w:rsidRPr="006F789B">
        <w:lastRenderedPageBreak/>
        <w:t>Panel 5G: The Role of Schools</w:t>
      </w:r>
    </w:p>
    <w:p w14:paraId="00062996" w14:textId="77777777" w:rsidR="006F789B" w:rsidRDefault="006F789B">
      <w:pPr>
        <w:rPr>
          <w:b/>
          <w:noProof/>
        </w:rPr>
      </w:pPr>
    </w:p>
    <w:p w14:paraId="1A86730D" w14:textId="5791A7F7" w:rsidR="0048524B" w:rsidRDefault="0048524B">
      <w:r w:rsidRPr="002E1C1E">
        <w:rPr>
          <w:b/>
          <w:noProof/>
        </w:rPr>
        <w:t>Glenda Ding Shi Yu</w:t>
      </w:r>
      <w:r w:rsidRPr="008357DE">
        <w:rPr>
          <w:b/>
        </w:rPr>
        <w:t xml:space="preserve">  </w:t>
      </w:r>
      <w:r>
        <w:rPr>
          <w:b/>
        </w:rPr>
        <w:t xml:space="preserve"> </w:t>
      </w:r>
      <w:r w:rsidRPr="008357DE">
        <w:t>(</w:t>
      </w:r>
      <w:r>
        <w:rPr>
          <w:noProof/>
        </w:rPr>
        <w:t>NTU</w:t>
      </w:r>
      <w:r w:rsidR="006F789B">
        <w:t>)</w:t>
      </w:r>
    </w:p>
    <w:p w14:paraId="32F86E8C" w14:textId="77777777" w:rsidR="0048524B" w:rsidRDefault="0048524B">
      <w:pPr>
        <w:rPr>
          <w:i/>
        </w:rPr>
      </w:pPr>
      <w:r w:rsidRPr="002E1C1E">
        <w:rPr>
          <w:i/>
          <w:noProof/>
        </w:rPr>
        <w:t>Primary School Art Teachers’ Beliefs about Creativity and their Choice of Teaching Practices</w:t>
      </w:r>
    </w:p>
    <w:p w14:paraId="7FB5CCDE" w14:textId="77777777" w:rsidR="0048524B" w:rsidRDefault="0048524B" w:rsidP="00AC7DBF">
      <w:pPr>
        <w:rPr>
          <w:noProof/>
        </w:rPr>
      </w:pPr>
      <w:r>
        <w:rPr>
          <w:noProof/>
        </w:rPr>
        <w:t>This paper argues on the importance of a teacher’s perception of creativity, and how it influences their teaching approaches and the ways they craft their lessons. The Ministry of Education (MOE) has, as of late, put great huge emphasis on arts education, and it believes that the 21st Century Competencies Skills are well developed through the art curriculum and creativity is considered the main element when it comes to shaping and enlightening the arts education. Purposeful art experiences seek to develop creative individuals who may grow intellectually and so the MOE has been training specialist art teachers for primary schools so that they have the competencies to deliver the 21st Century Competencies Skills through art. This paper discusses a qualitative research involving three current primary school art teachers and their perceptions of creativity. Through the interviews conducted, creativity is believed to be the use of innovation, problem solving in multiple ways and provision of a free space for students to explore the world of imagination and art. This paper also concludes that different teachers have different views and opinions about creativity, but they share common principles on how creativity can be nurtured and fostered in art education through diverse teaching approaches. Discussion of how improvements can create a more enriching art curriculum that nurtures the different aptitudes of creativity are presented in this research paper.</w:t>
      </w:r>
    </w:p>
    <w:p w14:paraId="7C8162F2" w14:textId="77777777" w:rsidR="0048524B" w:rsidRDefault="0048524B">
      <w:r>
        <w:rPr>
          <w:noProof/>
        </w:rPr>
        <w:t>Keywords: Creativity, art teachers, perceptions, teaching approaches, art education</w:t>
      </w:r>
    </w:p>
    <w:p w14:paraId="0ABDD953" w14:textId="77777777" w:rsidR="0048524B" w:rsidRDefault="0048524B"/>
    <w:p w14:paraId="3046FEEC" w14:textId="46AFE769" w:rsidR="0048524B" w:rsidRDefault="0048524B">
      <w:r w:rsidRPr="002E1C1E">
        <w:rPr>
          <w:b/>
          <w:noProof/>
        </w:rPr>
        <w:t>Clea</w:t>
      </w:r>
      <w:r w:rsidRPr="008357DE">
        <w:rPr>
          <w:b/>
        </w:rPr>
        <w:t xml:space="preserve"> </w:t>
      </w:r>
      <w:r w:rsidRPr="002E1C1E">
        <w:rPr>
          <w:b/>
          <w:noProof/>
        </w:rPr>
        <w:t>Southall</w:t>
      </w:r>
      <w:r w:rsidRPr="008357DE">
        <w:rPr>
          <w:b/>
        </w:rPr>
        <w:t xml:space="preserve"> </w:t>
      </w:r>
      <w:r>
        <w:rPr>
          <w:b/>
        </w:rPr>
        <w:t xml:space="preserve"> </w:t>
      </w:r>
      <w:r w:rsidRPr="008357DE">
        <w:t>(</w:t>
      </w:r>
      <w:r>
        <w:rPr>
          <w:noProof/>
        </w:rPr>
        <w:t>University of Leeds</w:t>
      </w:r>
      <w:r w:rsidR="006F789B">
        <w:t>)</w:t>
      </w:r>
    </w:p>
    <w:p w14:paraId="2EAE7F4C" w14:textId="77777777" w:rsidR="0048524B" w:rsidRDefault="0048524B">
      <w:pPr>
        <w:rPr>
          <w:i/>
        </w:rPr>
      </w:pPr>
      <w:r w:rsidRPr="002E1C1E">
        <w:rPr>
          <w:i/>
          <w:noProof/>
        </w:rPr>
        <w:t>Teaching Children About Their Brains: Evaluating the role of undergraduates in primary school education</w:t>
      </w:r>
    </w:p>
    <w:p w14:paraId="77565F19" w14:textId="77777777" w:rsidR="0048524B" w:rsidRDefault="0048524B" w:rsidP="00AC7DBF">
      <w:pPr>
        <w:rPr>
          <w:noProof/>
        </w:rPr>
      </w:pPr>
      <w:r>
        <w:rPr>
          <w:noProof/>
        </w:rPr>
        <w:t>The provision of hands-on activities, coupled with an ability to capture innate curiosity, is critical for stimulating scientific interest in primary school children. The brain is a topic that frequently engages pupils, although it is not included in the national curriculum. Where teachers feel apprehensive about teaching neuroscience topics, undergraduates can deliver engaging sessions and supplement teacher knowledge. The aim of this project was to deliver an interactive, fifty-minute session on the brain to primary school pupils.</w:t>
      </w:r>
    </w:p>
    <w:p w14:paraId="478B2FC7" w14:textId="77777777" w:rsidR="0048524B" w:rsidRDefault="0048524B" w:rsidP="00AC7DBF">
      <w:pPr>
        <w:rPr>
          <w:noProof/>
        </w:rPr>
      </w:pPr>
      <w:r>
        <w:rPr>
          <w:noProof/>
        </w:rPr>
        <w:t>The session was delivered by an undergraduate student to 570 Key Stage 2 pupils across five schools in Leeds. Four hands-on activities with a top-down focus were devised, beginning with learning about the brain as an entity, before focusing on individual neurones. Additionally, children explored how the nervous system may be altered in different medical scenarios – notably, following anaesthesia and in neurodegenerative diseases. Surveys and classwork were used to evaluate each session.</w:t>
      </w:r>
    </w:p>
    <w:p w14:paraId="41B4BC23" w14:textId="77777777" w:rsidR="0048524B" w:rsidRDefault="0048524B">
      <w:r>
        <w:rPr>
          <w:noProof/>
        </w:rPr>
        <w:t xml:space="preserve">Older pupils demonstrated an increased background knowledge of brain structure, labelling a mean of 1.5 (± 1.0) regions compared to 0.8 (± 0.96) for younger pupils (p=0.002) on a ‘brain map’. The majority of pupils (95 per cent) felt the session increased their knowledge of the brain, rating hands-on activities as most popular. Additionally, 95 per cent of teachers felt they would have more confidence in delivering a neuroscience session. Thus, partnerships with an undergraduate can </w:t>
      </w:r>
      <w:r>
        <w:rPr>
          <w:noProof/>
        </w:rPr>
        <w:lastRenderedPageBreak/>
        <w:t>simultaneously enhance pupil and teacher knowledge on extra-curricular topics. Such partnerships provide opportunities to increase the scope of the curriculum, which could stimulate scientific interest within primary schools.</w:t>
      </w:r>
    </w:p>
    <w:p w14:paraId="4DA25232" w14:textId="77777777" w:rsidR="0048524B" w:rsidRDefault="0048524B"/>
    <w:p w14:paraId="67382CF1" w14:textId="66E1B1AB" w:rsidR="0048524B" w:rsidRDefault="0048524B">
      <w:r w:rsidRPr="002E1C1E">
        <w:rPr>
          <w:b/>
          <w:noProof/>
        </w:rPr>
        <w:t>Jaide</w:t>
      </w:r>
      <w:r w:rsidRPr="008357DE">
        <w:rPr>
          <w:b/>
        </w:rPr>
        <w:t xml:space="preserve"> </w:t>
      </w:r>
      <w:r w:rsidRPr="002E1C1E">
        <w:rPr>
          <w:b/>
          <w:noProof/>
        </w:rPr>
        <w:t>Brearton</w:t>
      </w:r>
      <w:r w:rsidRPr="008357DE">
        <w:rPr>
          <w:b/>
        </w:rPr>
        <w:t xml:space="preserve"> </w:t>
      </w:r>
      <w:r w:rsidRPr="002E1C1E">
        <w:rPr>
          <w:b/>
          <w:noProof/>
        </w:rPr>
        <w:t>and Kay Sidebottom</w:t>
      </w:r>
      <w:r>
        <w:rPr>
          <w:b/>
        </w:rPr>
        <w:t xml:space="preserve"> </w:t>
      </w:r>
      <w:r w:rsidRPr="008357DE">
        <w:t>(</w:t>
      </w:r>
      <w:r>
        <w:rPr>
          <w:noProof/>
        </w:rPr>
        <w:t>University of Leeds</w:t>
      </w:r>
      <w:r w:rsidR="006F789B">
        <w:t>)</w:t>
      </w:r>
    </w:p>
    <w:p w14:paraId="7120FF27" w14:textId="77777777" w:rsidR="0048524B" w:rsidRDefault="0048524B">
      <w:pPr>
        <w:rPr>
          <w:i/>
        </w:rPr>
      </w:pPr>
      <w:r w:rsidRPr="002E1C1E">
        <w:rPr>
          <w:i/>
          <w:noProof/>
        </w:rPr>
        <w:t>Should I Stay or Should I Go? Exploring factors that may lead teachers to stay in or leave the profession</w:t>
      </w:r>
    </w:p>
    <w:p w14:paraId="19E960B3" w14:textId="77777777" w:rsidR="0048524B" w:rsidRDefault="0048524B" w:rsidP="00AC7DBF">
      <w:pPr>
        <w:rPr>
          <w:noProof/>
        </w:rPr>
      </w:pPr>
      <w:r>
        <w:rPr>
          <w:noProof/>
        </w:rPr>
        <w:t>This paper explores issues experienced by teachers which may lead to them leaving the profession. It focuses on factors such as workload, work/life balance, family conflict and senior leadership support, alongside intrinsic motivators that may lead to individuals choosing to remain part of the teacher workforce. The study situates itself within an increasingly neo-liberalised education system that emphasises competitive and individualising work practices (Ball, 2017). The research method utilised was an online survey conducted via Twitter; approximately 600 participants consisting of teachers past and present shared their views and experiences.</w:t>
      </w:r>
    </w:p>
    <w:p w14:paraId="292F6B4D" w14:textId="77777777" w:rsidR="0048524B" w:rsidRDefault="0048524B">
      <w:r>
        <w:rPr>
          <w:noProof/>
        </w:rPr>
        <w:t>Key findings suggest, perhaps unsurprisingly, a strong correlation between rises in workload (planning and assessment) and teachers’ dissatisfaction. Interestingly, however, effective leadership and management also emerge as significant factors regarding motivation and retention. This study explores the themes further, bringing in the often-overlooked voices of teachers at the centre of the debate. In a spirit of reflection, it also examines the use of social media practices in data gathering and the exciting affordances (and limitations) of platforms such as Twitter for research.</w:t>
      </w:r>
    </w:p>
    <w:p w14:paraId="1B342C43" w14:textId="77777777" w:rsidR="0048524B" w:rsidRDefault="0048524B"/>
    <w:p w14:paraId="3B92BE29" w14:textId="2794B3EA" w:rsidR="0048524B" w:rsidRDefault="0048524B">
      <w:r w:rsidRPr="002E1C1E">
        <w:rPr>
          <w:b/>
          <w:noProof/>
        </w:rPr>
        <w:t>Reuben</w:t>
      </w:r>
      <w:r w:rsidRPr="008357DE">
        <w:rPr>
          <w:b/>
        </w:rPr>
        <w:t xml:space="preserve"> </w:t>
      </w:r>
      <w:r w:rsidRPr="002E1C1E">
        <w:rPr>
          <w:b/>
          <w:noProof/>
        </w:rPr>
        <w:t>Johnson</w:t>
      </w:r>
      <w:r w:rsidRPr="008357DE">
        <w:rPr>
          <w:b/>
        </w:rPr>
        <w:t xml:space="preserve"> </w:t>
      </w:r>
      <w:r>
        <w:rPr>
          <w:b/>
        </w:rPr>
        <w:t xml:space="preserve"> </w:t>
      </w:r>
      <w:r w:rsidRPr="008357DE">
        <w:t>(</w:t>
      </w:r>
      <w:r>
        <w:rPr>
          <w:noProof/>
        </w:rPr>
        <w:t>University of Leeds</w:t>
      </w:r>
      <w:r w:rsidR="006F789B">
        <w:t>)</w:t>
      </w:r>
    </w:p>
    <w:p w14:paraId="0796111A" w14:textId="77777777" w:rsidR="0048524B" w:rsidRDefault="0048524B">
      <w:pPr>
        <w:rPr>
          <w:i/>
        </w:rPr>
      </w:pPr>
      <w:r w:rsidRPr="002E1C1E">
        <w:rPr>
          <w:i/>
          <w:noProof/>
        </w:rPr>
        <w:t>Employability and Confidence: Strategies for students</w:t>
      </w:r>
    </w:p>
    <w:p w14:paraId="231ABCA2" w14:textId="77777777" w:rsidR="0048524B" w:rsidRDefault="0048524B" w:rsidP="00AC7DBF">
      <w:pPr>
        <w:rPr>
          <w:noProof/>
        </w:rPr>
      </w:pPr>
      <w:r>
        <w:rPr>
          <w:noProof/>
        </w:rPr>
        <w:t>Despite a growing number of young people entering higher education in the UK, upon completion of their degree many of these students feel inadequately equipped to enter the graduate market. Higher Education Institutions (HEI) often have a number of strategies and facilities that aim to mitigate these feelings of inadequacy through increasing ‘student confidence’. Despite the available means, the student body often fails to engage with resources provided and it is not fully understood as to why this disengagement is so prevalent; in part, this research aims to explore why.</w:t>
      </w:r>
    </w:p>
    <w:p w14:paraId="53C35071" w14:textId="77777777" w:rsidR="0048524B" w:rsidRDefault="0048524B" w:rsidP="00AC7DBF">
      <w:pPr>
        <w:rPr>
          <w:noProof/>
        </w:rPr>
      </w:pPr>
      <w:r>
        <w:rPr>
          <w:noProof/>
        </w:rPr>
        <w:t>‘Student confidence’ is a multi-faceted factor and is explored as a barrier to the graduate market. How it intersects and interacts with other barriers is also explored. Thus, the research also aims to develop a further understanding of factors that affect confidence, as this will further aid in understanding student disengagement.</w:t>
      </w:r>
    </w:p>
    <w:p w14:paraId="06F1E4BB" w14:textId="77777777" w:rsidR="0048524B" w:rsidRDefault="0048524B">
      <w:r>
        <w:rPr>
          <w:noProof/>
        </w:rPr>
        <w:t>Using a mixed, although largely qualitative, methodology, my research aims to gain insight into student perceptions of proposed curriculum interventions that universities offer. This will then be explored and compared to similar research within a South African institution. A comparative analysis will act to explore the effectiveness of HEI in promoting student confidence, specifically in relation to entering the graduate market, by highlighting students’ perceptions of shortcomings. Moreover, it also acts to examine how cultural differences may affect ideas of student confidence, as well as whether or not there are relevant policy implementations that can be borrowed from other countries by UK institutions.</w:t>
      </w:r>
    </w:p>
    <w:p w14:paraId="08E0A012" w14:textId="589E6EB1" w:rsidR="0048524B" w:rsidRDefault="006F789B" w:rsidP="006F789B">
      <w:pPr>
        <w:pStyle w:val="Heading1"/>
      </w:pPr>
      <w:r>
        <w:lastRenderedPageBreak/>
        <w:t xml:space="preserve">Panel 6A: </w:t>
      </w:r>
      <w:r w:rsidRPr="006F789B">
        <w:t>Disease Manifestation and Prevention</w:t>
      </w:r>
    </w:p>
    <w:p w14:paraId="51097409" w14:textId="77777777" w:rsidR="006F789B" w:rsidRPr="006F789B" w:rsidRDefault="006F789B" w:rsidP="006F789B"/>
    <w:p w14:paraId="2C69869E" w14:textId="335CCD84" w:rsidR="0048524B" w:rsidRDefault="0048524B">
      <w:r w:rsidRPr="002E1C1E">
        <w:rPr>
          <w:b/>
          <w:noProof/>
        </w:rPr>
        <w:t>Maria</w:t>
      </w:r>
      <w:r w:rsidRPr="008357DE">
        <w:rPr>
          <w:b/>
        </w:rPr>
        <w:t xml:space="preserve"> </w:t>
      </w:r>
      <w:r w:rsidRPr="002E1C1E">
        <w:rPr>
          <w:b/>
          <w:noProof/>
        </w:rPr>
        <w:t>Hormiz</w:t>
      </w:r>
      <w:r w:rsidRPr="008357DE">
        <w:rPr>
          <w:b/>
        </w:rPr>
        <w:t xml:space="preserve"> </w:t>
      </w:r>
      <w:r w:rsidRPr="002E1C1E">
        <w:rPr>
          <w:b/>
          <w:noProof/>
        </w:rPr>
        <w:t>and Kate Brotherton</w:t>
      </w:r>
      <w:r>
        <w:rPr>
          <w:b/>
        </w:rPr>
        <w:t xml:space="preserve"> </w:t>
      </w:r>
      <w:r w:rsidRPr="008357DE">
        <w:t>(</w:t>
      </w:r>
      <w:r>
        <w:rPr>
          <w:noProof/>
        </w:rPr>
        <w:t>Monash University Australia</w:t>
      </w:r>
      <w:r w:rsidR="006F789B">
        <w:t>)</w:t>
      </w:r>
    </w:p>
    <w:p w14:paraId="675E1817" w14:textId="77777777" w:rsidR="0048524B" w:rsidRDefault="0048524B">
      <w:pPr>
        <w:rPr>
          <w:i/>
        </w:rPr>
      </w:pPr>
      <w:r w:rsidRPr="002E1C1E">
        <w:rPr>
          <w:i/>
          <w:noProof/>
        </w:rPr>
        <w:t>Is Granulomata in Crohn’s Disease More Common in Kids But More Significant in Adults?</w:t>
      </w:r>
    </w:p>
    <w:p w14:paraId="1FCF0924" w14:textId="77777777" w:rsidR="0048524B" w:rsidRDefault="0048524B" w:rsidP="00AC7DBF">
      <w:pPr>
        <w:rPr>
          <w:noProof/>
        </w:rPr>
      </w:pPr>
      <w:r>
        <w:rPr>
          <w:noProof/>
        </w:rPr>
        <w:t>Granulomata are a pathological feature of Crohn’s Disease (CD); however, they are not always present. The aetiologies and significance of granulomatous disease in CD are not well understood but have been considered to be a marker of disease severity. There is currently limited data available on the phenotype of granulomatous CD, especially in paediatrics.</w:t>
      </w:r>
    </w:p>
    <w:p w14:paraId="649E7B4C" w14:textId="77777777" w:rsidR="0048524B" w:rsidRDefault="0048524B" w:rsidP="00AC7DBF">
      <w:pPr>
        <w:rPr>
          <w:noProof/>
        </w:rPr>
      </w:pPr>
      <w:r>
        <w:rPr>
          <w:noProof/>
        </w:rPr>
        <w:t>Aims: To investigate whether the presence of at least a single granuloma is associated with specific phenotypes and disease outcomes in a cohort of patients with known CD.</w:t>
      </w:r>
    </w:p>
    <w:p w14:paraId="2EED0EEB" w14:textId="77777777" w:rsidR="0048524B" w:rsidRDefault="0048524B" w:rsidP="00AC7DBF">
      <w:pPr>
        <w:rPr>
          <w:noProof/>
        </w:rPr>
      </w:pPr>
      <w:r>
        <w:rPr>
          <w:noProof/>
        </w:rPr>
        <w:t>Methods: Using a retrospective case study design, 102 consecutive patients were selected, 51 diagnosed with CD as paediatric patients and 51 diagnosed as adults. Patient demographics were collected as per the Montreal IBD Classification systems.</w:t>
      </w:r>
    </w:p>
    <w:p w14:paraId="57620DF5" w14:textId="77777777" w:rsidR="0048524B" w:rsidRDefault="0048524B" w:rsidP="00AC7DBF">
      <w:pPr>
        <w:rPr>
          <w:noProof/>
        </w:rPr>
      </w:pPr>
      <w:r>
        <w:rPr>
          <w:noProof/>
        </w:rPr>
        <w:t>Results: Granulomata were found in 74.51% of the paediatric group (n=38) and 27.45% of the adult group (n=14), OR 7.725 (p&lt;0.0001). Of the adult patients with granulomata, 91.67% underwent surgical resection (n=11) compared to 41.67% of patients without granulomata (n=15), OR 15.4 (p&lt;0.05). There was no statistically significant difference in the use of biologic agents between the paediatric patients with (71.05%, n=27) and without (58.33%, n=7, OR 1.753, p=0.49) granulomatous disease. Of the adult group, there was also no difference in the use of biologic agents: 36.36% of those with granulomatous disease (n=4), and 58.33% of those with non-granulomatous disease (n=21, OR 0.4082, p=0.30).</w:t>
      </w:r>
    </w:p>
    <w:p w14:paraId="67BE5FDF" w14:textId="77777777" w:rsidR="0048524B" w:rsidRDefault="0048524B">
      <w:r>
        <w:rPr>
          <w:noProof/>
        </w:rPr>
        <w:t>Conclusions: Patients with granulomatous Crohn’s Disease were more likely to be diagnosed in the paediatric age. If diagnosed as adults, they were more likely to undergo surgical resection.</w:t>
      </w:r>
    </w:p>
    <w:p w14:paraId="0D70CF1F" w14:textId="77777777" w:rsidR="0048524B" w:rsidRDefault="0048524B"/>
    <w:p w14:paraId="3BC69B53" w14:textId="15CBCA52" w:rsidR="0048524B" w:rsidRDefault="0048524B">
      <w:r w:rsidRPr="002E1C1E">
        <w:rPr>
          <w:b/>
          <w:noProof/>
        </w:rPr>
        <w:t>Lilliana</w:t>
      </w:r>
      <w:r w:rsidRPr="008357DE">
        <w:rPr>
          <w:b/>
        </w:rPr>
        <w:t xml:space="preserve"> </w:t>
      </w:r>
      <w:r w:rsidRPr="002E1C1E">
        <w:rPr>
          <w:b/>
          <w:noProof/>
        </w:rPr>
        <w:t>Bowen</w:t>
      </w:r>
      <w:r w:rsidRPr="008357DE">
        <w:rPr>
          <w:b/>
        </w:rPr>
        <w:t xml:space="preserve"> </w:t>
      </w:r>
      <w:r>
        <w:rPr>
          <w:b/>
        </w:rPr>
        <w:t xml:space="preserve"> </w:t>
      </w:r>
      <w:r w:rsidRPr="008357DE">
        <w:t>(</w:t>
      </w:r>
      <w:r>
        <w:rPr>
          <w:noProof/>
        </w:rPr>
        <w:t>Monash University Australia</w:t>
      </w:r>
      <w:r w:rsidR="006F789B">
        <w:t>)</w:t>
      </w:r>
    </w:p>
    <w:p w14:paraId="4D41886F" w14:textId="77777777" w:rsidR="0048524B" w:rsidRDefault="0048524B">
      <w:pPr>
        <w:rPr>
          <w:i/>
        </w:rPr>
      </w:pPr>
      <w:r w:rsidRPr="002E1C1E">
        <w:rPr>
          <w:i/>
          <w:noProof/>
        </w:rPr>
        <w:t>Role of Manganese Superoxide Dismutase in Diabetic Kidney Disease</w:t>
      </w:r>
    </w:p>
    <w:p w14:paraId="661BD686" w14:textId="77777777" w:rsidR="0048524B" w:rsidRDefault="0048524B">
      <w:r>
        <w:rPr>
          <w:noProof/>
        </w:rPr>
        <w:t xml:space="preserve">Diabetes comprises a group of conditions characterised by high blood glucose (hyperglycaemia) and carries with it a risk for complications. One of the vascular complications is diabetic kidney disease (DKD), which occurs in approximately 30 per cent of individuals with Type 1 and Type 2 diabetes. DKD is the leading cause of End-Stage Renal Disease in Western societies, and individuals with this condition are at a much higher risk for cardiovascular disease. Given that current treatments for DKD (namely blockade of the renin-angiotensin system) only slow progression of the disease, treatments that can prevent the advance to End-Stage Renal Failure are desperately needed. Reactive oxygen species (ROS) and dysfunction of antioxidant systems – in particular, Manganese Superoxide Dismutase (MnSOD) – have been implicated in the development of DKD. ROS production is increased in the diabetic milieu and MnSOD antioxidant activity is decreased in diabetic kidneys. Furthermore, genetic studies in diabetic patients have shown a polymorphism in the gene encoding MnSOD (SOD2) that results in inefficient trafficking of the protein into mitochondria, preventing effective antioxidant action. This polymorphism doubles the risk of developing DKD; thus, MnSOD appears to be critical for the normal functioning of the kidney. The present study will knockout the SOD2 gene in the proximal tubules of the kidney in diabetic mice to investigate its effect on the development of </w:t>
      </w:r>
      <w:r>
        <w:rPr>
          <w:noProof/>
        </w:rPr>
        <w:lastRenderedPageBreak/>
        <w:t>DKD. Gaining a greater understanding of the role of MnSOD may lead to antioxidant therapies that are more effective in the treatment of DKD.</w:t>
      </w:r>
    </w:p>
    <w:p w14:paraId="5501C877" w14:textId="77777777" w:rsidR="0048524B" w:rsidRDefault="0048524B"/>
    <w:p w14:paraId="40746BC0" w14:textId="71C52F63" w:rsidR="0048524B" w:rsidRDefault="0048524B">
      <w:r w:rsidRPr="002E1C1E">
        <w:rPr>
          <w:b/>
          <w:noProof/>
        </w:rPr>
        <w:t>Jacquli</w:t>
      </w:r>
      <w:r w:rsidRPr="008357DE">
        <w:rPr>
          <w:b/>
        </w:rPr>
        <w:t xml:space="preserve"> </w:t>
      </w:r>
      <w:r w:rsidRPr="002E1C1E">
        <w:rPr>
          <w:b/>
          <w:noProof/>
        </w:rPr>
        <w:t>Kaschula</w:t>
      </w:r>
      <w:r w:rsidRPr="008357DE">
        <w:rPr>
          <w:b/>
        </w:rPr>
        <w:t xml:space="preserve"> </w:t>
      </w:r>
      <w:r>
        <w:rPr>
          <w:b/>
        </w:rPr>
        <w:t xml:space="preserve"> </w:t>
      </w:r>
      <w:r w:rsidRPr="008357DE">
        <w:t>(</w:t>
      </w:r>
      <w:r>
        <w:rPr>
          <w:noProof/>
        </w:rPr>
        <w:t>Monash University South Africa</w:t>
      </w:r>
      <w:r w:rsidR="006F789B">
        <w:t>)</w:t>
      </w:r>
    </w:p>
    <w:p w14:paraId="4D567B84" w14:textId="77777777" w:rsidR="0048524B" w:rsidRDefault="0048524B">
      <w:pPr>
        <w:rPr>
          <w:i/>
        </w:rPr>
      </w:pPr>
      <w:r w:rsidRPr="002E1C1E">
        <w:rPr>
          <w:i/>
          <w:noProof/>
        </w:rPr>
        <w:t>Diagnosing Spinal Tuberculosis in South Africa</w:t>
      </w:r>
    </w:p>
    <w:p w14:paraId="09CD5DD5" w14:textId="77777777" w:rsidR="0048524B" w:rsidRDefault="0048524B">
      <w:r>
        <w:rPr>
          <w:noProof/>
        </w:rPr>
        <w:t>Due to the high disease burden of both pulmonary tuberculosis and human immunodeficiency virus (HIV) infections experienced in South Africa, the incidence of spinal tuberculosis remains proportionately high within the country. Unfortunately, while diseases such as HIV and pulmonary tuberculosis receive considerable recognition in South Africa in terms of innovation, research and resources, spinal tuberculosis goes unnoticed. Incidentally, South Africa currently has no standardised procedures or guidelines for the diagnosis of spinal tuberculosis, making this issue a major public health concern as spinal tuberculosis primarily affects those in economically active and productive age groups and can result in severe ill-health outcomes such as paraplegia and neurological abnormalities, hence causing major consequences not only for individuals but also for South Africa’s healthcare system and economy. This presentation firstly addresses the potential spinal tuberculosis diagnostic guidelines and procedures that can be implemented and utilised within a South African context, and secondly considers how these guidelines and procedures can be effectively and appropriately integrated into the healthcare system in a way that will maintain and promote sustainability. Following the inclusion criteria, a literature review was conducted to obtain appropriate data on the topic. The aim is to investigate potential solutions for standardised diagnostic guidelines for spinal tuberculosis, obstacles that may arise while implementing these guidelines and how these guidelines can be implemented effectively and sustained. This information can be utilised to aid South African healthcare policies and future programmes aimed at addressing the diagnosis and timely treatment of spinal tuberculosis.</w:t>
      </w:r>
    </w:p>
    <w:p w14:paraId="269576EB" w14:textId="77777777" w:rsidR="0048524B" w:rsidRDefault="0048524B"/>
    <w:p w14:paraId="4EFFD43C" w14:textId="0CE67A7A" w:rsidR="0048524B" w:rsidRDefault="0048524B">
      <w:r w:rsidRPr="002E1C1E">
        <w:rPr>
          <w:b/>
          <w:noProof/>
        </w:rPr>
        <w:t>Jessica-Ann</w:t>
      </w:r>
      <w:r w:rsidRPr="008357DE">
        <w:rPr>
          <w:b/>
        </w:rPr>
        <w:t xml:space="preserve"> </w:t>
      </w:r>
      <w:r w:rsidRPr="002E1C1E">
        <w:rPr>
          <w:b/>
          <w:noProof/>
        </w:rPr>
        <w:t>Gallacher</w:t>
      </w:r>
      <w:r w:rsidRPr="008357DE">
        <w:rPr>
          <w:b/>
        </w:rPr>
        <w:t xml:space="preserve"> </w:t>
      </w:r>
      <w:r>
        <w:rPr>
          <w:b/>
        </w:rPr>
        <w:t xml:space="preserve"> </w:t>
      </w:r>
      <w:r w:rsidRPr="008357DE">
        <w:t>(</w:t>
      </w:r>
      <w:r>
        <w:rPr>
          <w:noProof/>
        </w:rPr>
        <w:t>Monash University South Africa</w:t>
      </w:r>
      <w:r w:rsidR="006F789B">
        <w:t>)</w:t>
      </w:r>
    </w:p>
    <w:p w14:paraId="477DEAD9" w14:textId="77777777" w:rsidR="0048524B" w:rsidRDefault="0048524B">
      <w:pPr>
        <w:rPr>
          <w:i/>
        </w:rPr>
      </w:pPr>
      <w:r w:rsidRPr="002E1C1E">
        <w:rPr>
          <w:i/>
          <w:noProof/>
        </w:rPr>
        <w:t>Rwanda’s Changing Religious Landscape: Why the Catholic Church has lost popularity in post-genocide Rwanda</w:t>
      </w:r>
    </w:p>
    <w:p w14:paraId="44A753A2" w14:textId="77777777" w:rsidR="0048524B" w:rsidRDefault="0048524B">
      <w:r>
        <w:rPr>
          <w:noProof/>
        </w:rPr>
        <w:t xml:space="preserve">The East African country of Rwanda was estimated to be 90 per cent Christian in 1994, with 60 per cent belonging to the Catholic Church. However, following the 1994 Rwandan Genocide against the Tutsi, the religious landscape changed considerably as the Catholic Church lost 18 per cent of its membership. The aim of this paper is to determine what caused this loss of popularity by conducting a literature review of both primary and secondary sources. Key findings reveal three reasons to explain the Catholic Church’s declining membership. Firstly, upon the closure of violence, many refugees repatriated to Rwanda and brought new religious denominations with them. Secondly, many Rwandans converted to Protestant denominations as their teachings were appealing to people in the aftermath of trauma as they provided a sense of belonging. Islam affiliation has also increased due to the common belief that no Muslim was implicated during the genocide. Finally, the Catholic Church is believed to have been complicit in the Rwandan genocide. Many believe they were responsible for solidifying the ethnic differences that paved the way for genocide. The church also played a role during the genocide, as many religious leaders aided or abetted the killing, and churches did not serve as places of sanctuary. Additionally, the Catholic Church has been criticised by the Rwandan government, who requested an apology from the Vatican for the role of the church </w:t>
      </w:r>
      <w:r>
        <w:rPr>
          <w:noProof/>
        </w:rPr>
        <w:lastRenderedPageBreak/>
        <w:t>in the 1994 genocide. This apology was given in 2017, which may create more positive relationships between the Rwandan Catholic Church and the state.</w:t>
      </w:r>
    </w:p>
    <w:p w14:paraId="62404EA8" w14:textId="77777777" w:rsidR="0048524B" w:rsidRDefault="0048524B"/>
    <w:p w14:paraId="5EE9EEF1" w14:textId="77777777" w:rsidR="006F789B" w:rsidRDefault="006F789B">
      <w:pPr>
        <w:rPr>
          <w:b/>
          <w:noProof/>
        </w:rPr>
      </w:pPr>
      <w:r>
        <w:rPr>
          <w:b/>
          <w:noProof/>
        </w:rPr>
        <w:br w:type="page"/>
      </w:r>
    </w:p>
    <w:p w14:paraId="0FC8B1BF" w14:textId="046166DD" w:rsidR="006F789B" w:rsidRPr="00D17BA4" w:rsidRDefault="004008BF" w:rsidP="00D17BA4">
      <w:pPr>
        <w:pStyle w:val="Heading1"/>
      </w:pPr>
      <w:r w:rsidRPr="00D17BA4">
        <w:lastRenderedPageBreak/>
        <w:t>P</w:t>
      </w:r>
      <w:r w:rsidR="00D17BA4" w:rsidRPr="00D17BA4">
        <w:t>anel 6B: Space</w:t>
      </w:r>
    </w:p>
    <w:p w14:paraId="3AA78CFF" w14:textId="77777777" w:rsidR="00D17BA4" w:rsidRDefault="00D17BA4">
      <w:pPr>
        <w:rPr>
          <w:b/>
          <w:noProof/>
        </w:rPr>
      </w:pPr>
    </w:p>
    <w:p w14:paraId="581676F2" w14:textId="426B3338" w:rsidR="0048524B" w:rsidRDefault="0048524B">
      <w:r w:rsidRPr="002E1C1E">
        <w:rPr>
          <w:b/>
          <w:noProof/>
        </w:rPr>
        <w:t>Daniel</w:t>
      </w:r>
      <w:r w:rsidRPr="008357DE">
        <w:rPr>
          <w:b/>
        </w:rPr>
        <w:t xml:space="preserve"> </w:t>
      </w:r>
      <w:r w:rsidRPr="002E1C1E">
        <w:rPr>
          <w:b/>
          <w:noProof/>
        </w:rPr>
        <w:t>Ricardo</w:t>
      </w:r>
      <w:r w:rsidRPr="008357DE">
        <w:rPr>
          <w:b/>
        </w:rPr>
        <w:t xml:space="preserve"> </w:t>
      </w:r>
      <w:r>
        <w:rPr>
          <w:b/>
        </w:rPr>
        <w:t xml:space="preserve"> </w:t>
      </w:r>
      <w:r w:rsidRPr="008357DE">
        <w:t>(</w:t>
      </w:r>
      <w:r>
        <w:rPr>
          <w:noProof/>
        </w:rPr>
        <w:t>Monash University Australia</w:t>
      </w:r>
      <w:r w:rsidR="00D17BA4">
        <w:t>)</w:t>
      </w:r>
    </w:p>
    <w:p w14:paraId="70DDFBAD" w14:textId="77777777" w:rsidR="0048524B" w:rsidRDefault="0048524B">
      <w:pPr>
        <w:rPr>
          <w:i/>
        </w:rPr>
      </w:pPr>
      <w:r w:rsidRPr="002E1C1E">
        <w:rPr>
          <w:i/>
          <w:noProof/>
        </w:rPr>
        <w:t>Optimisation of a Rover Instrument Cluster to the Search for Life on Mars</w:t>
      </w:r>
    </w:p>
    <w:p w14:paraId="0F0D0CEB" w14:textId="77777777" w:rsidR="0048524B" w:rsidRDefault="0048524B">
      <w:r>
        <w:rPr>
          <w:noProof/>
        </w:rPr>
        <w:t>Although recent testing and deployment of extra-planetary sample acquisition systems has seen progress, no previous Mars rover has successfully drilled to a depth greater than 7cm in soil or rock. It is likely the extent to which ultraviolet radiation and oxidising soil chemistry influences potential sub-surface soil communities reduces with depth. In the search for life on Mars, there is therefore a need to develop an in-situ scientific instrument cluster capable of reaching depths relevant to putative Martian organisms. In response to the lack of vertical access to preserved sedimentary assemblages and potential microbial communities, this paper outlines the design, integration and performance of the Endeavour scientific payload on the Sandstorm rover. Developed by the Nova Rover Team from Monash University, Sandstorm will represent Australia and the Southern Hemisphere for the first time at the 2018 University Rover Challenge (URC), which simulates a manned mission to Mars at the Mars Desert Research Station in Utah. Building upon the Athena payload on the Mars Exploration Rovers, Endeavour is capable of retrieving soil cores that preserve lithostratigraphy down to a depth of 20cm – almost 3 times that of any previous Mars rover. This article primarily aims to serve as a documented resource for other student projects and/or academic groups employing similar technology designed for in-situ drilling on terrestrial or extra-planetary rover missions. Combined with limited access to the advanced tools, materials and manufacturing processes required, this research intends to promote the link between space technology and its most important resource: students.</w:t>
      </w:r>
    </w:p>
    <w:p w14:paraId="02B54A99" w14:textId="77777777" w:rsidR="0048524B" w:rsidRDefault="0048524B"/>
    <w:p w14:paraId="7FFB7E09" w14:textId="72585C28" w:rsidR="0048524B" w:rsidRDefault="0048524B">
      <w:r w:rsidRPr="002E1C1E">
        <w:rPr>
          <w:b/>
          <w:noProof/>
        </w:rPr>
        <w:t>Darcy</w:t>
      </w:r>
      <w:r w:rsidRPr="008357DE">
        <w:rPr>
          <w:b/>
        </w:rPr>
        <w:t xml:space="preserve"> </w:t>
      </w:r>
      <w:r w:rsidRPr="002E1C1E">
        <w:rPr>
          <w:b/>
          <w:noProof/>
        </w:rPr>
        <w:t>Whitworth</w:t>
      </w:r>
      <w:r w:rsidRPr="008357DE">
        <w:rPr>
          <w:b/>
        </w:rPr>
        <w:t xml:space="preserve"> </w:t>
      </w:r>
      <w:r>
        <w:rPr>
          <w:b/>
        </w:rPr>
        <w:t xml:space="preserve"> </w:t>
      </w:r>
      <w:r w:rsidRPr="008357DE">
        <w:t>(</w:t>
      </w:r>
      <w:r>
        <w:rPr>
          <w:noProof/>
        </w:rPr>
        <w:t>Monash University Australia</w:t>
      </w:r>
      <w:r w:rsidR="00D17BA4">
        <w:t>)</w:t>
      </w:r>
    </w:p>
    <w:p w14:paraId="6E1F10C9" w14:textId="77777777" w:rsidR="0048524B" w:rsidRDefault="0048524B">
      <w:pPr>
        <w:rPr>
          <w:i/>
        </w:rPr>
      </w:pPr>
      <w:r w:rsidRPr="002E1C1E">
        <w:rPr>
          <w:i/>
          <w:noProof/>
        </w:rPr>
        <w:t>Analysing Speech Identity Through Language Variation: A comparative case study of the role of Ga/O and Te-iru/Teru in contemporary Japanese</w:t>
      </w:r>
    </w:p>
    <w:p w14:paraId="38D3E6FB" w14:textId="77777777" w:rsidR="0048524B" w:rsidRDefault="0048524B" w:rsidP="00AC7DBF">
      <w:pPr>
        <w:rPr>
          <w:noProof/>
        </w:rPr>
      </w:pPr>
      <w:r>
        <w:rPr>
          <w:noProof/>
        </w:rPr>
        <w:t>In modern Japanese, distinctions between standard and non-standard language types are rapidly changing through the socio-cultural development of colloquial speech and individual associations with a range of social groups. It is therefore imperative to critically assess modern-day shifts in the Japanese language to identify any potential variants in speech and subsequent belief-systems that have emerged through these cultural changes.</w:t>
      </w:r>
    </w:p>
    <w:p w14:paraId="3450FDAE" w14:textId="77777777" w:rsidR="0048524B" w:rsidRDefault="0048524B" w:rsidP="00AC7DBF">
      <w:pPr>
        <w:rPr>
          <w:noProof/>
        </w:rPr>
      </w:pPr>
      <w:r>
        <w:rPr>
          <w:noProof/>
        </w:rPr>
        <w:t>Harnessing qualitative methods through the distribution of two wide-scale surveys, this research performed a critical comparative analysis on two distinctive pairs of Japanese variables (Ga/O) and (Te-iru/Teru). The study aimed to gauge public perceptions of the variant form to unearth the core cultural conceptualisations associated with their use and how these ideological underpinnings in turn impacted individual identity construction.</w:t>
      </w:r>
    </w:p>
    <w:p w14:paraId="2220D587" w14:textId="77777777" w:rsidR="0048524B" w:rsidRDefault="0048524B" w:rsidP="00AC7DBF">
      <w:pPr>
        <w:rPr>
          <w:noProof/>
        </w:rPr>
      </w:pPr>
      <w:r>
        <w:rPr>
          <w:noProof/>
        </w:rPr>
        <w:t>Results suggest that the Japanese variant use is dependent on the socio-cultural context in which the utterance is spoken and can be linked to a desire to construct an identity relative to one’s immediate social status or group. Both pairs of variants produced qualitatively different results, with a contrast in the type of social values and beliefs associated between each variant.</w:t>
      </w:r>
    </w:p>
    <w:p w14:paraId="60AC634C" w14:textId="77777777" w:rsidR="0048524B" w:rsidRDefault="0048524B">
      <w:r>
        <w:rPr>
          <w:noProof/>
        </w:rPr>
        <w:t xml:space="preserve">Comparative analysis of these two pairs of variables is yet to be performed. Furthermore, the combination of language-attitude, social meaning and language variation research represents a </w:t>
      </w:r>
      <w:r>
        <w:rPr>
          <w:noProof/>
        </w:rPr>
        <w:lastRenderedPageBreak/>
        <w:t>unique development in the field of socio-linguistics. The multi-faceted nature of this project provides a basis to explore the connection between individual perception, language and identity construction, subsequently demonstrating a critical understanding of the language culture relationship in modern Japan.</w:t>
      </w:r>
    </w:p>
    <w:p w14:paraId="506A50D8" w14:textId="77777777" w:rsidR="0048524B" w:rsidRDefault="0048524B"/>
    <w:p w14:paraId="19AC6070" w14:textId="667D692B" w:rsidR="0048524B" w:rsidRDefault="0048524B">
      <w:r w:rsidRPr="002E1C1E">
        <w:rPr>
          <w:b/>
          <w:noProof/>
        </w:rPr>
        <w:t>Amy</w:t>
      </w:r>
      <w:r w:rsidRPr="008357DE">
        <w:rPr>
          <w:b/>
        </w:rPr>
        <w:t xml:space="preserve"> </w:t>
      </w:r>
      <w:r w:rsidRPr="002E1C1E">
        <w:rPr>
          <w:b/>
          <w:noProof/>
        </w:rPr>
        <w:t>Gallichio</w:t>
      </w:r>
      <w:r w:rsidRPr="008357DE">
        <w:rPr>
          <w:b/>
        </w:rPr>
        <w:t xml:space="preserve"> </w:t>
      </w:r>
      <w:r>
        <w:rPr>
          <w:b/>
        </w:rPr>
        <w:t xml:space="preserve"> </w:t>
      </w:r>
      <w:r w:rsidRPr="008357DE">
        <w:t>(</w:t>
      </w:r>
      <w:r>
        <w:rPr>
          <w:noProof/>
        </w:rPr>
        <w:t>Monash University Australia</w:t>
      </w:r>
      <w:r w:rsidR="00D17BA4">
        <w:t>)</w:t>
      </w:r>
    </w:p>
    <w:p w14:paraId="04FC66BB" w14:textId="77777777" w:rsidR="0048524B" w:rsidRDefault="0048524B">
      <w:pPr>
        <w:rPr>
          <w:i/>
        </w:rPr>
      </w:pPr>
      <w:r w:rsidRPr="002E1C1E">
        <w:rPr>
          <w:i/>
          <w:noProof/>
        </w:rPr>
        <w:t>Implementing Brain–Computer Interfaces in Clinical Diagnosis and Treatment of Drug-Resistant Epilepsy</w:t>
      </w:r>
    </w:p>
    <w:p w14:paraId="61FDD6B1" w14:textId="77777777" w:rsidR="0048524B" w:rsidRDefault="0048524B" w:rsidP="00AC7DBF">
      <w:pPr>
        <w:rPr>
          <w:noProof/>
        </w:rPr>
      </w:pPr>
      <w:r>
        <w:rPr>
          <w:noProof/>
        </w:rPr>
        <w:t>Epilepsy is a neurological disorder that affects approximately 0.5–1 per cent of the world’s population. Causing seizures as a result of abnormal and excessive discharges of neurons, epilepsy is primarily diagnosed through observations by medical specialists and the use of electroencephalography. The primary objective of epilepsy treatment is reducing the frequency and severity of seizures in order to improve the wellbeing of individuals living with this disorder.</w:t>
      </w:r>
    </w:p>
    <w:p w14:paraId="62223E6F" w14:textId="77777777" w:rsidR="0048524B" w:rsidRDefault="0048524B" w:rsidP="00AC7DBF">
      <w:pPr>
        <w:rPr>
          <w:noProof/>
        </w:rPr>
      </w:pPr>
      <w:r>
        <w:rPr>
          <w:noProof/>
        </w:rPr>
        <w:t>Historically, anti-epileptic medications have been prescribed to control, reduce and eliminate seizures. However, it has been estimated that 25 per cent of patients with epilepsy suffer from drug-resistance. As such, researchers have investigated other avenues of seizure management. With the advancement of brain–computer interfaces (BCI), responsive neurostimulation permits an intuitive brain–computer feedback loop in which seizures are recognised and controlled. This technology is currently transforming the way in which drug-resistant epilepsy is treated.</w:t>
      </w:r>
    </w:p>
    <w:p w14:paraId="56C20502" w14:textId="77777777" w:rsidR="0048524B" w:rsidRDefault="0048524B">
      <w:r>
        <w:rPr>
          <w:noProof/>
        </w:rPr>
        <w:t>Focused on developing and integrating the fundamental components of a BCI for the clinical diagnosis and treatment of drug-resistant epilepsy, I reviewed current research in this area. Analysing the efficacy of various diagnostic tools and treatments, I examined their value in the BCI framework. Ultimately, I identified that neuroimaging, seizure monitoring, classification, neutralisation and prediction compose the key elements of such a BCI. While prevention systems are at present underdeveloped, it is clear that this will be a key area in future research. I conclude that while no single BCI will be the solution, the construction of a modifiable BCI framework will allow for broad application when treating drug-resistant epilepsy.</w:t>
      </w:r>
    </w:p>
    <w:p w14:paraId="6C471203" w14:textId="77777777" w:rsidR="0048524B" w:rsidRDefault="0048524B"/>
    <w:p w14:paraId="7D8AF9B1" w14:textId="3624FAAF" w:rsidR="0048524B" w:rsidRDefault="0048524B">
      <w:r w:rsidRPr="002E1C1E">
        <w:rPr>
          <w:b/>
          <w:noProof/>
        </w:rPr>
        <w:t>James</w:t>
      </w:r>
      <w:r w:rsidRPr="008357DE">
        <w:rPr>
          <w:b/>
        </w:rPr>
        <w:t xml:space="preserve"> </w:t>
      </w:r>
      <w:r w:rsidRPr="002E1C1E">
        <w:rPr>
          <w:b/>
          <w:noProof/>
        </w:rPr>
        <w:t>Blake</w:t>
      </w:r>
      <w:r w:rsidRPr="008357DE">
        <w:rPr>
          <w:b/>
        </w:rPr>
        <w:t xml:space="preserve"> </w:t>
      </w:r>
      <w:r>
        <w:rPr>
          <w:b/>
        </w:rPr>
        <w:t xml:space="preserve"> </w:t>
      </w:r>
      <w:r w:rsidRPr="008357DE">
        <w:t>(</w:t>
      </w:r>
      <w:r>
        <w:rPr>
          <w:noProof/>
        </w:rPr>
        <w:t>University of Warwick</w:t>
      </w:r>
      <w:r w:rsidR="00D17BA4">
        <w:t>)</w:t>
      </w:r>
    </w:p>
    <w:p w14:paraId="5799FE33" w14:textId="77777777" w:rsidR="0048524B" w:rsidRDefault="0048524B">
      <w:pPr>
        <w:rPr>
          <w:i/>
        </w:rPr>
      </w:pPr>
      <w:r w:rsidRPr="002E1C1E">
        <w:rPr>
          <w:i/>
          <w:noProof/>
        </w:rPr>
        <w:t>Hitching a Ride on Asteroids – Are we the aliens?</w:t>
      </w:r>
    </w:p>
    <w:p w14:paraId="49B9D0F4" w14:textId="77777777" w:rsidR="0048524B" w:rsidRDefault="0048524B">
      <w:r>
        <w:rPr>
          <w:noProof/>
        </w:rPr>
        <w:t xml:space="preserve">The recent ground-breaking discovery of seven temperate planets within the TRAPPIST-1 system has been hailed as a milestone in the development of exoplanetary science. Centred on an ultra-cool dwarf star, the planets all orbit within a sixth of the distance between Mercury and the Sun. This remarkably compact nature makes the system an ideal testbed for the modelling of rapid lithopanspermia, the idea that micro-organisms can be distributed throughout the Universe via fragments of rock ejected from a meteoric impact event. We perform N-body simulations to investigate the timescale and success-rate of lithopanspermia within TRAPPIST-1. In each simulation, test particles are ejected from one of the three planets thought to lie within the so-called ‘habitable zone’ of the star into a range of allowed orbits, constrained by the ejection velocity and coplanarity of the case in question. The irradiance received by the test particles is tracked throughout the simulation, allowing the overall exposure to radiation to be calculated for each one at the close of its journey. A simultaneous in-depth review of space microbiological literature has enabled inferences </w:t>
      </w:r>
      <w:r>
        <w:rPr>
          <w:noProof/>
        </w:rPr>
        <w:lastRenderedPageBreak/>
        <w:t>to be made regarding the potential survivability of lithopanspermia in compact exoplanetary systems. We find that life could hop between the TRAPPIST-1 planets on a much faster timescale than within our Solar System, with most particles completing their journey well within constraints imposed by experiments that have tested micro-organisms in space-like conditions.</w:t>
      </w:r>
    </w:p>
    <w:p w14:paraId="78920617" w14:textId="77777777" w:rsidR="0048524B" w:rsidRDefault="0048524B"/>
    <w:p w14:paraId="19C9700C" w14:textId="77777777" w:rsidR="00D17BA4" w:rsidRDefault="00D17BA4">
      <w:pPr>
        <w:rPr>
          <w:b/>
          <w:noProof/>
        </w:rPr>
      </w:pPr>
      <w:r>
        <w:rPr>
          <w:b/>
          <w:noProof/>
        </w:rPr>
        <w:br w:type="page"/>
      </w:r>
    </w:p>
    <w:p w14:paraId="1D3535A4" w14:textId="7DAC5F54" w:rsidR="00D17BA4" w:rsidRDefault="00D17BA4" w:rsidP="004467BC">
      <w:pPr>
        <w:pStyle w:val="Heading1"/>
      </w:pPr>
      <w:r>
        <w:lastRenderedPageBreak/>
        <w:t xml:space="preserve">Panel 6C: </w:t>
      </w:r>
      <w:r w:rsidR="004467BC" w:rsidRPr="004467BC">
        <w:t>Social Inclusion and Engagement</w:t>
      </w:r>
    </w:p>
    <w:p w14:paraId="58D2149F" w14:textId="77777777" w:rsidR="004467BC" w:rsidRPr="004467BC" w:rsidRDefault="004467BC" w:rsidP="004467BC"/>
    <w:p w14:paraId="15009E50" w14:textId="1B3AD3D1" w:rsidR="0048524B" w:rsidRDefault="0048524B">
      <w:r w:rsidRPr="002E1C1E">
        <w:rPr>
          <w:b/>
          <w:noProof/>
        </w:rPr>
        <w:t>Jacqueline</w:t>
      </w:r>
      <w:r w:rsidRPr="008357DE">
        <w:rPr>
          <w:b/>
        </w:rPr>
        <w:t xml:space="preserve"> </w:t>
      </w:r>
      <w:r w:rsidRPr="002E1C1E">
        <w:rPr>
          <w:b/>
          <w:noProof/>
        </w:rPr>
        <w:t>Zhu</w:t>
      </w:r>
      <w:r w:rsidRPr="008357DE">
        <w:rPr>
          <w:b/>
        </w:rPr>
        <w:t xml:space="preserve"> </w:t>
      </w:r>
      <w:r>
        <w:rPr>
          <w:b/>
        </w:rPr>
        <w:t xml:space="preserve"> </w:t>
      </w:r>
      <w:r w:rsidRPr="008357DE">
        <w:t>(</w:t>
      </w:r>
      <w:r>
        <w:rPr>
          <w:noProof/>
        </w:rPr>
        <w:t>Monash University Australia</w:t>
      </w:r>
      <w:r w:rsidR="004467BC">
        <w:t>)</w:t>
      </w:r>
    </w:p>
    <w:p w14:paraId="53C62393" w14:textId="77777777" w:rsidR="0048524B" w:rsidRDefault="0048524B">
      <w:pPr>
        <w:rPr>
          <w:i/>
        </w:rPr>
      </w:pPr>
      <w:r w:rsidRPr="002E1C1E">
        <w:rPr>
          <w:i/>
          <w:noProof/>
        </w:rPr>
        <w:t>An Evaluation of the Koori Court’s Current Place in the Victorian Legal System by Addressing Its Past and Present Limitations</w:t>
      </w:r>
    </w:p>
    <w:p w14:paraId="734FA74D" w14:textId="77777777" w:rsidR="0048524B" w:rsidRDefault="0048524B">
      <w:r>
        <w:rPr>
          <w:noProof/>
        </w:rPr>
        <w:t>Inclusiveness of Indigenous Australians in current society can be evaluated in the context of their access to the legal system. This paper discusses the appropriateness of the legal avenues available, with a central focus on the Koori Court, a specialised division of the Victorian Magistrates’ Courts. The development of this court, in particular between the years of 2005 and 2018, and its current purpose in the modern day will be explored, with a further focus on the resolution of its limitations. This will largely be a response to Bridget McAsey’s ‘A Critical Evaluation of the Koori Court Division of the Victorian Magistrates’ Court’ (2005) with a present and updated outlook to the issues that were raised by the author. The article pointed to a clear need for the Koori Court to be critically evaluated at a future point and that will be done here in reference to court proceedings primarily undertaken at the Melbourne branch of the Koori Court. Interviews with involved parties of the specialised division will be sought to assess the current situation; however, problematic concerns may arise in that, arguably, the most important insight into these situations – those of the Koori offenders – may be absent. The continual operation of the division for over a decade suggests something intrinsically right is happening in which I hope to find a plausible connection linked to the resolution of past limitations. This will hopefully add momentum towards the continual development of the system until it is appropriately entrenched within current communities.</w:t>
      </w:r>
    </w:p>
    <w:p w14:paraId="51D21A33" w14:textId="77777777" w:rsidR="0048524B" w:rsidRDefault="0048524B"/>
    <w:p w14:paraId="0443FFA8" w14:textId="2D5E55A6" w:rsidR="0048524B" w:rsidRDefault="0048524B">
      <w:r w:rsidRPr="002E1C1E">
        <w:rPr>
          <w:b/>
          <w:noProof/>
        </w:rPr>
        <w:t>Joe</w:t>
      </w:r>
      <w:r w:rsidRPr="008357DE">
        <w:rPr>
          <w:b/>
        </w:rPr>
        <w:t xml:space="preserve"> </w:t>
      </w:r>
      <w:r w:rsidRPr="002E1C1E">
        <w:rPr>
          <w:b/>
          <w:noProof/>
        </w:rPr>
        <w:t>Collings-Hall</w:t>
      </w:r>
      <w:r w:rsidRPr="008357DE">
        <w:rPr>
          <w:b/>
        </w:rPr>
        <w:t xml:space="preserve"> </w:t>
      </w:r>
      <w:r>
        <w:rPr>
          <w:b/>
        </w:rPr>
        <w:t xml:space="preserve"> </w:t>
      </w:r>
      <w:r w:rsidRPr="008357DE">
        <w:t>(</w:t>
      </w:r>
      <w:r>
        <w:rPr>
          <w:noProof/>
        </w:rPr>
        <w:t>Monash University Australia</w:t>
      </w:r>
      <w:r w:rsidR="004467BC">
        <w:t>)</w:t>
      </w:r>
    </w:p>
    <w:p w14:paraId="3FB37D70" w14:textId="77777777" w:rsidR="0048524B" w:rsidRDefault="0048524B">
      <w:pPr>
        <w:rPr>
          <w:i/>
        </w:rPr>
      </w:pPr>
      <w:r w:rsidRPr="002E1C1E">
        <w:rPr>
          <w:i/>
          <w:noProof/>
        </w:rPr>
        <w:t>Maintaining Masculinities: Unemployment, gender and young Islamic men in Melbourne, Australia</w:t>
      </w:r>
    </w:p>
    <w:p w14:paraId="63E00E5F" w14:textId="77777777" w:rsidR="0048524B" w:rsidRDefault="0048524B" w:rsidP="00AC7DBF">
      <w:pPr>
        <w:rPr>
          <w:noProof/>
        </w:rPr>
      </w:pPr>
      <w:r>
        <w:rPr>
          <w:noProof/>
        </w:rPr>
        <w:t>Young, unemployed Islamic migrant men in Melbourne may be at a higher risk of developing deviant coping strategies compared to their host community counterparts. This may be due to the culturally sanctioned normative avenues of performing their gender being blocked by discrimination driven social marginalisation. My focus is particularly that of social marginalisation in the form of exclusion from the labour market. Employment is generally accepted as fundamental to the masculine identity, while unemployment has been shown to adversely affect masculinities. This is particularly relevant for Muslims as it has been found they are subjected to a specific discrimination, a Muslim penalty, in that their disproportionate exclusion from the labour market can largely be explained by prejudice within society.</w:t>
      </w:r>
    </w:p>
    <w:p w14:paraId="259446CD" w14:textId="77777777" w:rsidR="0048524B" w:rsidRDefault="0048524B" w:rsidP="00AC7DBF">
      <w:pPr>
        <w:rPr>
          <w:noProof/>
        </w:rPr>
      </w:pPr>
      <w:r>
        <w:rPr>
          <w:noProof/>
        </w:rPr>
        <w:t>Muslims in Australia have been designated a suspect community, and this designation is associated with a greater number of stressors compared to other minority populations. Given the well-documented link between age and deviance, along with the enormous amount of media and political devoted to this population, there is a puzzling dearth of knowledge surrounding young Muslim men’s gender identities and the strategies they employ to maintain them in the face of challenges.</w:t>
      </w:r>
    </w:p>
    <w:p w14:paraId="446CFCB7" w14:textId="77777777" w:rsidR="0048524B" w:rsidRDefault="0048524B">
      <w:r>
        <w:rPr>
          <w:noProof/>
        </w:rPr>
        <w:t xml:space="preserve">In interviewing young unemployed Muslim men aged between 18 and 25 in Melbourne, my project will provide insight into any gendered coping strategies they enact and the consequences of such strategies. This research is significant as it fills a gap in criminological and sociological literature </w:t>
      </w:r>
      <w:r>
        <w:rPr>
          <w:noProof/>
        </w:rPr>
        <w:lastRenderedPageBreak/>
        <w:t>regarding Muslim men’s gendered responses to labour market marginalisation. In doing so, it also contributes to understandings of the intersections between age, race, class and gender.</w:t>
      </w:r>
    </w:p>
    <w:p w14:paraId="2427D4F2" w14:textId="77777777" w:rsidR="0048524B" w:rsidRDefault="0048524B"/>
    <w:p w14:paraId="272100F0" w14:textId="3FC77107" w:rsidR="0048524B" w:rsidRDefault="0048524B">
      <w:r w:rsidRPr="002E1C1E">
        <w:rPr>
          <w:b/>
          <w:noProof/>
        </w:rPr>
        <w:t>Katie</w:t>
      </w:r>
      <w:r w:rsidRPr="008357DE">
        <w:rPr>
          <w:b/>
        </w:rPr>
        <w:t xml:space="preserve"> </w:t>
      </w:r>
      <w:r w:rsidRPr="002E1C1E">
        <w:rPr>
          <w:b/>
          <w:noProof/>
        </w:rPr>
        <w:t>Whyatt</w:t>
      </w:r>
      <w:r w:rsidRPr="008357DE">
        <w:rPr>
          <w:b/>
        </w:rPr>
        <w:t xml:space="preserve"> </w:t>
      </w:r>
      <w:r>
        <w:rPr>
          <w:b/>
        </w:rPr>
        <w:t xml:space="preserve"> </w:t>
      </w:r>
      <w:r w:rsidRPr="008357DE">
        <w:t>(</w:t>
      </w:r>
      <w:r>
        <w:rPr>
          <w:noProof/>
        </w:rPr>
        <w:t>University of Leeds</w:t>
      </w:r>
      <w:r w:rsidR="004467BC">
        <w:t>)</w:t>
      </w:r>
    </w:p>
    <w:p w14:paraId="382DB36E" w14:textId="77777777" w:rsidR="0048524B" w:rsidRDefault="0048524B">
      <w:pPr>
        <w:rPr>
          <w:i/>
        </w:rPr>
      </w:pPr>
      <w:r w:rsidRPr="002E1C1E">
        <w:rPr>
          <w:i/>
          <w:noProof/>
        </w:rPr>
        <w:t>The Language of FA Crisis: A corpus study into the attribution and evasion of blame in the Mark Sampson and Eniola Aluko scandal</w:t>
      </w:r>
    </w:p>
    <w:p w14:paraId="4C495E4C" w14:textId="77777777" w:rsidR="0048524B" w:rsidRDefault="0048524B" w:rsidP="00AC7DBF">
      <w:pPr>
        <w:rPr>
          <w:noProof/>
        </w:rPr>
      </w:pPr>
      <w:r>
        <w:rPr>
          <w:noProof/>
        </w:rPr>
        <w:t>In 2017, the England women’s football striker Eniola Aluko accused the then-England manager, Mark Sampson, of making racist remarks towards her. Two enquiries had cleared Sampson, but it later emerged that Sampson’s employers, the Football Association – the governing body for the sport in England – had orchestrated a sham investigation to protect Sampson and obscure the truth. There was a parliamentary hearing into the scandal involving Aluko and four FA representatives.</w:t>
      </w:r>
    </w:p>
    <w:p w14:paraId="35B3738F" w14:textId="77777777" w:rsidR="0048524B" w:rsidRDefault="0048524B" w:rsidP="00AC7DBF">
      <w:pPr>
        <w:rPr>
          <w:noProof/>
        </w:rPr>
      </w:pPr>
      <w:r>
        <w:rPr>
          <w:noProof/>
        </w:rPr>
        <w:t>A corpus consisting of 1267 texts from seven national English news sources, as well as statements, testimonies and a transcript of the parliamentary enquiry, were subjected to qualitative and quantitative analysis using methods from multiple strands of linguistics. The findings highlight the disparity between UK law and the media in their application of terms like ‘racist’; how discourses of White privilege and victim-blaming are encoded in the news coverage of the scandal; that individuals and organisations linguistically negotiate the relationship between organisational policy and individual action in order to assert or deny the existence of institutional racism. This study interrogates the British media’s representation of people with and without organisational privilege – essential as we understand inequality in an increasingly multi-cultural and globalised world.</w:t>
      </w:r>
    </w:p>
    <w:p w14:paraId="406508A5" w14:textId="77777777" w:rsidR="0048524B" w:rsidRDefault="0048524B">
      <w:r>
        <w:rPr>
          <w:noProof/>
        </w:rPr>
        <w:t>This is the only detailed linguistic study into a scandal that continues to set new precedents for sports governance and grievance processes in England at a time when athlete welfare and institutional practices in sport are under unprecedented scrutiny across the world.</w:t>
      </w:r>
    </w:p>
    <w:p w14:paraId="7F0977A8" w14:textId="77777777" w:rsidR="0048524B" w:rsidRDefault="0048524B"/>
    <w:p w14:paraId="29406071" w14:textId="20B8439F" w:rsidR="0048524B" w:rsidRDefault="0048524B">
      <w:r w:rsidRPr="002E1C1E">
        <w:rPr>
          <w:b/>
          <w:noProof/>
        </w:rPr>
        <w:t>Yolande</w:t>
      </w:r>
      <w:r w:rsidRPr="008357DE">
        <w:rPr>
          <w:b/>
        </w:rPr>
        <w:t xml:space="preserve"> </w:t>
      </w:r>
      <w:r w:rsidRPr="002E1C1E">
        <w:rPr>
          <w:b/>
          <w:noProof/>
        </w:rPr>
        <w:t>Sumbele</w:t>
      </w:r>
      <w:r w:rsidRPr="008357DE">
        <w:rPr>
          <w:b/>
        </w:rPr>
        <w:t xml:space="preserve"> </w:t>
      </w:r>
      <w:r>
        <w:rPr>
          <w:b/>
        </w:rPr>
        <w:t xml:space="preserve"> </w:t>
      </w:r>
      <w:r w:rsidRPr="008357DE">
        <w:t>(</w:t>
      </w:r>
      <w:r>
        <w:rPr>
          <w:noProof/>
        </w:rPr>
        <w:t>University of Leeds</w:t>
      </w:r>
      <w:r w:rsidR="004467BC">
        <w:t>)</w:t>
      </w:r>
    </w:p>
    <w:p w14:paraId="25C0A4FF" w14:textId="77777777" w:rsidR="0048524B" w:rsidRDefault="0048524B">
      <w:pPr>
        <w:rPr>
          <w:i/>
        </w:rPr>
      </w:pPr>
      <w:r w:rsidRPr="002E1C1E">
        <w:rPr>
          <w:i/>
          <w:noProof/>
        </w:rPr>
        <w:t>The Experience of Black Bicultural Students in a Predominantly White University: An interpretative phenomenological analysis</w:t>
      </w:r>
    </w:p>
    <w:p w14:paraId="6A868B39" w14:textId="77777777" w:rsidR="0048524B" w:rsidRDefault="0048524B">
      <w:r>
        <w:rPr>
          <w:noProof/>
        </w:rPr>
        <w:t xml:space="preserve">Along with the normal social and developmental challenges all young adults are believed to face during university, Black students are believed to encounter further unique stressors due to their minority status. While bicultural identities have been proposed to promote better psychological and socio-cultural wellbeing; this has been argued to be very context dependent. Statistics demonstrate that high non-continuation rates for Black students in particular remain an issue for many UK Higher Education Institutions; however, there is a paucity of research examining these students’ experiences within UK universities. The present study therefore aims to explore Black students’ experiences of being bicultural at a predominantly White university and its impact on their sense of wellbeing. Semi-structured interviews and interpretative phenomenological analysis were employed generating the core category: ‘Challenges to a sense of belonging’ and three superordinate themes: ‘Defining in-groups and safe spaces’, ‘Experiencing marginalisation’, and ‘Pressures to assimilate’. The five participants interviewed appeared to make sense of their experiences in light of how their various interactions impacted their sense of belonging. Findings reveal that settings that allow participants to truly be themselves were most beneficial for both their wellbeing and validation of their identities. The analysis is discussed in relation to current literature highlighting supporting </w:t>
      </w:r>
      <w:r>
        <w:rPr>
          <w:noProof/>
        </w:rPr>
        <w:lastRenderedPageBreak/>
        <w:t>findings of the themes generated and the extension of previous literature. Implications for future research are also proposed. This present study therefore contributes to the understanding of Black students’ experiences in predominantly White universities.</w:t>
      </w:r>
    </w:p>
    <w:p w14:paraId="4697F993" w14:textId="77777777" w:rsidR="0048524B" w:rsidRDefault="0048524B"/>
    <w:p w14:paraId="40B1A75D" w14:textId="77777777" w:rsidR="004467BC" w:rsidRDefault="004467BC">
      <w:pPr>
        <w:rPr>
          <w:b/>
          <w:noProof/>
        </w:rPr>
      </w:pPr>
      <w:r>
        <w:rPr>
          <w:b/>
          <w:noProof/>
        </w:rPr>
        <w:br w:type="page"/>
      </w:r>
    </w:p>
    <w:p w14:paraId="7A26B3AC" w14:textId="6F4E15D1" w:rsidR="004467BC" w:rsidRDefault="004467BC" w:rsidP="006D4D60">
      <w:pPr>
        <w:pStyle w:val="Heading1"/>
      </w:pPr>
      <w:r w:rsidRPr="006D4D60">
        <w:lastRenderedPageBreak/>
        <w:t xml:space="preserve">Panel 6D: </w:t>
      </w:r>
      <w:r w:rsidR="006D4D60" w:rsidRPr="006D4D60">
        <w:t>Organic and Biological Chemistry</w:t>
      </w:r>
    </w:p>
    <w:p w14:paraId="21A7F441" w14:textId="77777777" w:rsidR="006D4D60" w:rsidRPr="006D4D60" w:rsidRDefault="006D4D60" w:rsidP="006D4D60"/>
    <w:p w14:paraId="4F4E5D82" w14:textId="3C55A658" w:rsidR="0048524B" w:rsidRDefault="0048524B">
      <w:r w:rsidRPr="002E1C1E">
        <w:rPr>
          <w:b/>
          <w:noProof/>
        </w:rPr>
        <w:t>Yii Chian</w:t>
      </w:r>
      <w:r w:rsidRPr="008357DE">
        <w:rPr>
          <w:b/>
        </w:rPr>
        <w:t xml:space="preserve"> </w:t>
      </w:r>
      <w:r w:rsidRPr="002E1C1E">
        <w:rPr>
          <w:b/>
          <w:noProof/>
        </w:rPr>
        <w:t>Ngui</w:t>
      </w:r>
      <w:r w:rsidRPr="008357DE">
        <w:rPr>
          <w:b/>
        </w:rPr>
        <w:t xml:space="preserve"> </w:t>
      </w:r>
      <w:r w:rsidRPr="002E1C1E">
        <w:rPr>
          <w:b/>
          <w:noProof/>
        </w:rPr>
        <w:t>and Amanda Chi Yan Tan</w:t>
      </w:r>
      <w:r>
        <w:rPr>
          <w:b/>
        </w:rPr>
        <w:t xml:space="preserve"> </w:t>
      </w:r>
      <w:r w:rsidRPr="008357DE">
        <w:t>(</w:t>
      </w:r>
      <w:r>
        <w:rPr>
          <w:noProof/>
        </w:rPr>
        <w:t>Monash University Malaysia</w:t>
      </w:r>
      <w:r w:rsidR="009E23E9">
        <w:t>)</w:t>
      </w:r>
    </w:p>
    <w:p w14:paraId="0C662DA7" w14:textId="77777777" w:rsidR="0048524B" w:rsidRDefault="0048524B">
      <w:pPr>
        <w:rPr>
          <w:i/>
        </w:rPr>
      </w:pPr>
      <w:r w:rsidRPr="002E1C1E">
        <w:rPr>
          <w:i/>
          <w:noProof/>
        </w:rPr>
        <w:t>Symptoms at First Contact as Predictors of Evolution Towards Schizophrenia in Patients with Schizophreniform Disorder</w:t>
      </w:r>
    </w:p>
    <w:p w14:paraId="46F228F3" w14:textId="77777777" w:rsidR="0048524B" w:rsidRDefault="0048524B" w:rsidP="00AC7DBF">
      <w:pPr>
        <w:rPr>
          <w:noProof/>
        </w:rPr>
      </w:pPr>
      <w:r>
        <w:rPr>
          <w:noProof/>
        </w:rPr>
        <w:t>Schizophreniform disorder presents with schizophrenia-like symptoms longer than one month but fewer than six months. One-third of patients are known to remit fully by six months while the remaining two-thirds progress to schizophrenia. Factors predicting full remission include an acute onset of psychotic symptoms, the presence of confusion, good pre-morbid functioning and the absence of blunted affect. Other clinical features leading to the progression into schizophrenia are not understood.</w:t>
      </w:r>
    </w:p>
    <w:p w14:paraId="5319BE7B" w14:textId="77777777" w:rsidR="0048524B" w:rsidRDefault="0048524B" w:rsidP="00AC7DBF">
      <w:pPr>
        <w:rPr>
          <w:noProof/>
        </w:rPr>
      </w:pPr>
      <w:r>
        <w:rPr>
          <w:noProof/>
        </w:rPr>
        <w:t>Objective: To identify the prognostic value of specific symptoms at first psychiatric contact in predicting the progression of schizophreniform disorder to schizophrenia.</w:t>
      </w:r>
    </w:p>
    <w:p w14:paraId="1DAD441C" w14:textId="77777777" w:rsidR="0048524B" w:rsidRDefault="0048524B" w:rsidP="00AC7DBF">
      <w:pPr>
        <w:rPr>
          <w:noProof/>
        </w:rPr>
      </w:pPr>
      <w:r>
        <w:rPr>
          <w:noProof/>
        </w:rPr>
        <w:t>Proposed Methodology: This is a retrospective study to be conducted at the Psychiatric Clinic of Hospital Sultanah Aminah, Johor Bahru, Malaysia. A random selection of patients with a diagnosis of schizophreniform disorder at first contact, from January 2010 to December 2016, will be included in the study. The selected patients will be categorised into two arms: (1) Patients with full remission by 6 months who retain the status by 24 months, and (2) Patients who progress to schizophrenia. Patient information obtained will be compared between both arms, utilising: (1) clinical-symptom checklist derived from the Positive and Negative Symptoms Scale, and (2) Patient socio-demographic questionnaire.</w:t>
      </w:r>
    </w:p>
    <w:p w14:paraId="1B1AAE55" w14:textId="77777777" w:rsidR="0048524B" w:rsidRDefault="0048524B" w:rsidP="00AC7DBF">
      <w:pPr>
        <w:rPr>
          <w:noProof/>
        </w:rPr>
      </w:pPr>
      <w:r>
        <w:rPr>
          <w:noProof/>
        </w:rPr>
        <w:t>Expected outcome: Progression from schizophreniform disorder to schizophrenia could be predicted by specific clinical symptoms present at first contact.</w:t>
      </w:r>
    </w:p>
    <w:p w14:paraId="699EA348" w14:textId="77777777" w:rsidR="0048524B" w:rsidRDefault="0048524B">
      <w:r>
        <w:rPr>
          <w:noProof/>
        </w:rPr>
        <w:t>Clinical significance: Identifying predictive clinical symptoms will help clinicians distinguish patients at risk of evolving into schizophrenia. Close monitoring and specific interventional programmes implemented for these patients could ensure a better diagnostic outcome.</w:t>
      </w:r>
    </w:p>
    <w:p w14:paraId="05EAE809" w14:textId="77777777" w:rsidR="0048524B" w:rsidRDefault="0048524B"/>
    <w:p w14:paraId="1FD463CF" w14:textId="4DED5E99" w:rsidR="0048524B" w:rsidRDefault="0048524B">
      <w:r w:rsidRPr="002E1C1E">
        <w:rPr>
          <w:b/>
          <w:noProof/>
        </w:rPr>
        <w:t>Lin Yuing</w:t>
      </w:r>
      <w:r w:rsidRPr="008357DE">
        <w:rPr>
          <w:b/>
        </w:rPr>
        <w:t xml:space="preserve"> </w:t>
      </w:r>
      <w:r w:rsidRPr="002E1C1E">
        <w:rPr>
          <w:b/>
          <w:noProof/>
        </w:rPr>
        <w:t>Tan</w:t>
      </w:r>
      <w:r w:rsidRPr="008357DE">
        <w:rPr>
          <w:b/>
        </w:rPr>
        <w:t xml:space="preserve"> </w:t>
      </w:r>
      <w:r>
        <w:rPr>
          <w:b/>
        </w:rPr>
        <w:t xml:space="preserve"> </w:t>
      </w:r>
      <w:r w:rsidRPr="008357DE">
        <w:t>(</w:t>
      </w:r>
      <w:r>
        <w:rPr>
          <w:noProof/>
        </w:rPr>
        <w:t>Monash University Malaysia</w:t>
      </w:r>
      <w:r w:rsidR="009E23E9">
        <w:t>)</w:t>
      </w:r>
    </w:p>
    <w:p w14:paraId="3205BB11" w14:textId="77777777" w:rsidR="0048524B" w:rsidRDefault="0048524B">
      <w:pPr>
        <w:rPr>
          <w:i/>
        </w:rPr>
      </w:pPr>
      <w:r w:rsidRPr="002E1C1E">
        <w:rPr>
          <w:i/>
          <w:noProof/>
        </w:rPr>
        <w:t>Microwave-Assisted Synthesis of 3-(5-Amino-1,2,4-Triazol-3-yl)Propanamides Via Two Complementary Pathways</w:t>
      </w:r>
    </w:p>
    <w:p w14:paraId="20E63DDD" w14:textId="77777777" w:rsidR="0048524B" w:rsidRDefault="0048524B">
      <w:r>
        <w:rPr>
          <w:noProof/>
        </w:rPr>
        <w:t xml:space="preserve">1,2,4-triazoles have found numerous applications in organic, agricultural and medicinal chemistry. This scaffold can be found in several pesticides and drugs with diverse therapeutic applications. 5-amino-1,2,4-triazoles have been proved to be useful building blocks for the construction of triazole-fused bioactive heterocycles. We developed an effective approach for the synthesis of 3-(5-amino-1,2,4-triazol-3-yl)propanamides using succinic anhydride reacting with aminoguanidine and amines in the sequence depending on the amine nucleophilicity. Thus, the first pathway started with the preparation of N-guanidinosuccinimide from succinic anhydride and aminoguanidine followed by its reaction with aliphatic amines (primary and secondary), which nucleophilicity was sufficient to initiate the succinimide ring opening. For the less nucleophilic aromatic amine, which failed to react in the first pathway, an alternative synthetic route was designed. This pathway involved an initial synthesis of N-arylsuccinimides from succinic anhydride and anilines. Aminoguanidine hydrochloride </w:t>
      </w:r>
      <w:r>
        <w:rPr>
          <w:noProof/>
        </w:rPr>
        <w:lastRenderedPageBreak/>
        <w:t>effectively opened the succinimide ring affording intermediate amidoguanidines, which were converted by the treatment with a base in the one-pot manner to the targeted triazoles. These two pathways complemented each other, allowing preparation of a diverse library of 3-(5-amino-1,2,4- triazol-3-yl) propanamides suitable for further derivatisation in our programme on the synthesis of bioactive molecules.</w:t>
      </w:r>
    </w:p>
    <w:p w14:paraId="3BE01416" w14:textId="77777777" w:rsidR="0048524B" w:rsidRDefault="0048524B"/>
    <w:p w14:paraId="1E6F70CD" w14:textId="56D854FE" w:rsidR="0048524B" w:rsidRDefault="0048524B">
      <w:r w:rsidRPr="002E1C1E">
        <w:rPr>
          <w:b/>
          <w:noProof/>
        </w:rPr>
        <w:t>Bethany</w:t>
      </w:r>
      <w:r w:rsidRPr="008357DE">
        <w:rPr>
          <w:b/>
        </w:rPr>
        <w:t xml:space="preserve"> </w:t>
      </w:r>
      <w:r w:rsidRPr="002E1C1E">
        <w:rPr>
          <w:b/>
          <w:noProof/>
        </w:rPr>
        <w:t>Bowers</w:t>
      </w:r>
      <w:r w:rsidRPr="008357DE">
        <w:rPr>
          <w:b/>
        </w:rPr>
        <w:t xml:space="preserve"> </w:t>
      </w:r>
      <w:r>
        <w:rPr>
          <w:b/>
        </w:rPr>
        <w:t xml:space="preserve"> </w:t>
      </w:r>
      <w:r w:rsidRPr="008357DE">
        <w:t>(</w:t>
      </w:r>
      <w:r>
        <w:rPr>
          <w:noProof/>
        </w:rPr>
        <w:t>University of Warwick</w:t>
      </w:r>
      <w:r w:rsidR="009E23E9">
        <w:t>)</w:t>
      </w:r>
    </w:p>
    <w:p w14:paraId="34473606" w14:textId="77777777" w:rsidR="0048524B" w:rsidRDefault="0048524B">
      <w:pPr>
        <w:rPr>
          <w:i/>
        </w:rPr>
      </w:pPr>
      <w:r w:rsidRPr="002E1C1E">
        <w:rPr>
          <w:i/>
          <w:noProof/>
        </w:rPr>
        <w:t>Optimising the Expression of Clathrin Terminal Domain and its Adapter Proteins</w:t>
      </w:r>
    </w:p>
    <w:p w14:paraId="2AF05DF2" w14:textId="77777777" w:rsidR="0048524B" w:rsidRDefault="0048524B" w:rsidP="00AC7DBF">
      <w:pPr>
        <w:rPr>
          <w:noProof/>
        </w:rPr>
      </w:pPr>
      <w:r>
        <w:rPr>
          <w:noProof/>
        </w:rPr>
        <w:t>Hypercholesterolemia, otherwise known as high cholesterol, contributes to Alzheimer’s and stroke, two leading causes of death, globally. My project involved optimising the expression of proteins that help regulate cholesterol levels with the aim of advancing our understanding of the mechanism which contributes to these diseases. Currently, this mechanism and the interactions between proteins is poorly understood.</w:t>
      </w:r>
    </w:p>
    <w:p w14:paraId="6250D79E" w14:textId="77777777" w:rsidR="0048524B" w:rsidRDefault="0048524B">
      <w:r>
        <w:rPr>
          <w:noProof/>
        </w:rPr>
        <w:t>Clathrin-mediated endocytosis (CME), a process that utilises the protein clathrin and its adapter proteins, is used by cells to facilitate the selective internalisation of cargo, such as cholesterol, from the plasma membrane to regulate cholesterol levels. Of the many proteins known to play a role in this process, this project focused on clathrin terminal domain and adapter proteins, autosomal recessive hypercholesterolemia (ARH) and disabled2 (Dab2), which have key roles in cholesterol uptake. Using a range of growth temperatures, media and inducer concentrations, protein expression – the production of a protein from its gene – was optimised and confirmed by Coomassie staining. Wild-type terminal domain and wild-type ARH expressed well using Luria Broth whereas auto-induction media was optimal for wild-type Dab2. Using an array of purification techniques, I endeavoured to purify these proteins. This insight provides a foundation for attaining pure clathrin terminal domain, ARH and Dab2 proteins. Future research has the potential to advance our understanding of cholesterol uptake by CME, a process central to human health. There is scope for biochemical and structural analysis of these purified proteins that could aid the development of novel therapeutics to reduce the global impact of hypercholesterolemia.</w:t>
      </w:r>
    </w:p>
    <w:p w14:paraId="526CA5E8" w14:textId="77777777" w:rsidR="0048524B" w:rsidRDefault="0048524B"/>
    <w:p w14:paraId="2D25A97F" w14:textId="1CA0266B" w:rsidR="0048524B" w:rsidRDefault="0048524B">
      <w:r w:rsidRPr="002E1C1E">
        <w:rPr>
          <w:b/>
          <w:noProof/>
        </w:rPr>
        <w:t>Valentin</w:t>
      </w:r>
      <w:r w:rsidRPr="008357DE">
        <w:rPr>
          <w:b/>
        </w:rPr>
        <w:t xml:space="preserve"> </w:t>
      </w:r>
      <w:r w:rsidRPr="002E1C1E">
        <w:rPr>
          <w:b/>
          <w:noProof/>
        </w:rPr>
        <w:t>Dospinescu</w:t>
      </w:r>
      <w:r w:rsidRPr="008357DE">
        <w:rPr>
          <w:b/>
        </w:rPr>
        <w:t xml:space="preserve"> </w:t>
      </w:r>
      <w:r>
        <w:rPr>
          <w:b/>
        </w:rPr>
        <w:t xml:space="preserve"> </w:t>
      </w:r>
      <w:r w:rsidRPr="008357DE">
        <w:t>(</w:t>
      </w:r>
      <w:r>
        <w:rPr>
          <w:noProof/>
        </w:rPr>
        <w:t>University of Warwick</w:t>
      </w:r>
      <w:r w:rsidR="009E23E9">
        <w:t>)</w:t>
      </w:r>
    </w:p>
    <w:p w14:paraId="18E43C6A" w14:textId="77777777" w:rsidR="0048524B" w:rsidRDefault="0048524B">
      <w:pPr>
        <w:rPr>
          <w:i/>
        </w:rPr>
      </w:pPr>
      <w:r w:rsidRPr="002E1C1E">
        <w:rPr>
          <w:i/>
          <w:noProof/>
        </w:rPr>
        <w:t>Evolution of Air-Breathing – Connexin 26, a carbon dioxide sensor</w:t>
      </w:r>
    </w:p>
    <w:p w14:paraId="06EE68BB" w14:textId="77777777" w:rsidR="0048524B" w:rsidRDefault="0048524B">
      <w:r>
        <w:rPr>
          <w:noProof/>
        </w:rPr>
        <w:t xml:space="preserve">In mammals, CO2 provides the respiratory drive. For a long time, it has been thought that the body detects CO2 only via pH changes as CO2 makes the blood more acidic. However, it has been shown that increasing blood CO2 concentration results in increased ventilation even when the pH is kept constant. This suggests that CO2 is directly sensed by a chemoreceptor. Recently, the CO2 chemoreceptor in mammals has been identified: connexin 26 (Cx26). Six Cx26 units form a pore (hemichannel) in neurones (primarily in the medulla oblongata) which allows transmitter release (ATP – Adenosine triphosphate). But where did Cx26 arise from? Here we assess the sensitivity of Cx26 hemichannels of Xenopus tropicalis, Chelonia mydas, and Gekko japonicus to CO2 via an established dye-loading protocol (in HeLa cells). When the Cx26 hemichannels open, a fluorescent dye enters the cell rendering it luminescent, allowing us to quantify the sensitivity of the hemichannels to CO2. The reptile Cx26 hemichannels (Chelonia and Gecko) opened in response to increases in pCO2; the Xenopus channels (amphibian) were unresponsive. The difference between reptile and amphibian Cx26 is that the latter contains a long amino acid tail and shortening of this </w:t>
      </w:r>
      <w:r>
        <w:rPr>
          <w:noProof/>
        </w:rPr>
        <w:lastRenderedPageBreak/>
        <w:t>tail confers CO2 sensitivity. The data indicates that Cx26 CO2 sensing is highly conserved across reptiles, mammals and birds. Furthermore, the results show that Cx26 has evolved as early as amphibians with possible fish ancestral origins. The retention of Cx26 over millions of years of evolution further suggests its critical role for life in air-breathing organisms.</w:t>
      </w:r>
    </w:p>
    <w:p w14:paraId="03348695" w14:textId="77777777" w:rsidR="0048524B" w:rsidRDefault="0048524B"/>
    <w:p w14:paraId="111BC1E5" w14:textId="4913006F" w:rsidR="0048524B" w:rsidRDefault="0048524B">
      <w:r w:rsidRPr="002E1C1E">
        <w:rPr>
          <w:b/>
          <w:noProof/>
        </w:rPr>
        <w:t>Evita</w:t>
      </w:r>
      <w:r w:rsidRPr="008357DE">
        <w:rPr>
          <w:b/>
        </w:rPr>
        <w:t xml:space="preserve"> </w:t>
      </w:r>
      <w:r w:rsidRPr="002E1C1E">
        <w:rPr>
          <w:b/>
          <w:noProof/>
        </w:rPr>
        <w:t>Casno</w:t>
      </w:r>
      <w:r w:rsidRPr="008357DE">
        <w:rPr>
          <w:b/>
        </w:rPr>
        <w:t xml:space="preserve"> </w:t>
      </w:r>
      <w:r>
        <w:rPr>
          <w:b/>
        </w:rPr>
        <w:t xml:space="preserve"> </w:t>
      </w:r>
      <w:r w:rsidRPr="008357DE">
        <w:t>(</w:t>
      </w:r>
      <w:r>
        <w:rPr>
          <w:noProof/>
        </w:rPr>
        <w:t>University of Warwick</w:t>
      </w:r>
      <w:r w:rsidR="009E23E9">
        <w:t>)</w:t>
      </w:r>
    </w:p>
    <w:p w14:paraId="70EA37C5" w14:textId="77777777" w:rsidR="0048524B" w:rsidRDefault="0048524B">
      <w:pPr>
        <w:rPr>
          <w:i/>
        </w:rPr>
      </w:pPr>
      <w:r w:rsidRPr="002E1C1E">
        <w:rPr>
          <w:i/>
          <w:noProof/>
        </w:rPr>
        <w:t xml:space="preserve">Functional Characterisation of SCL26, a Nodulation Gene Orthologue in </w:t>
      </w:r>
      <w:r w:rsidRPr="005506FC">
        <w:rPr>
          <w:noProof/>
        </w:rPr>
        <w:t>Arabidopsis Thaliana</w:t>
      </w:r>
      <w:r w:rsidRPr="002E1C1E">
        <w:rPr>
          <w:i/>
          <w:noProof/>
        </w:rPr>
        <w:t xml:space="preserve"> That Regulates Lateral Root Length</w:t>
      </w:r>
    </w:p>
    <w:p w14:paraId="646A7FA5" w14:textId="77777777" w:rsidR="0048524B" w:rsidRDefault="0048524B">
      <w:r>
        <w:rPr>
          <w:noProof/>
        </w:rPr>
        <w:t>Nitrogen is the main limiting nutrient for plant production, and although it is one of the most abundant elements on earth, it is often unavailable to plants. As an evolutionary, adaptive strategy, some plant species (such as the legume Medicago truncatula) have developed the ability to interact with specialised bacteria in a symbiotic relationship, overcoming the lack of nitrogen availability in soil. In this partnership, the rhizobia fix nitrogen from the air and supply it to the plant in exchange for carbon compounds. Intriguingly, some of the genes required for nodulation are also conserved in non-nodulating species such as Arabidopsis thaliana. In previous work, we have identified an A.thaliana gene (orthologue of a key nodulation gene in M.truncatula) that controls lateral root development. In this project, we aim to study the regulation of this gene under different nitrogen conditions, the sub-cellular localisation of the protein encoded, and its putative function in A.thaliana. Nodulation and lateral root formation have been suggested to be linked from an evolutionary point of view; this project aims to provide feasible links between these processes. The techniques we will use will be cloning, bacterial and plant transformation, microscopy, Fluorescence Activated Cell Sorting (FACS) and RNA extraction. Understanding the function and regulation of nodulation-like genes in non-nodulating species will help in understanding the approaches required to achieve the wider scientific goal of transferring the nodulation gene-toolkit to non-nodulating species, ultimately reducing human dependence on fertiliser usage.</w:t>
      </w:r>
    </w:p>
    <w:p w14:paraId="64AFB92D" w14:textId="77777777" w:rsidR="0048524B" w:rsidRDefault="0048524B"/>
    <w:p w14:paraId="44DE7C38" w14:textId="77777777" w:rsidR="009E23E9" w:rsidRDefault="009E23E9">
      <w:pPr>
        <w:rPr>
          <w:b/>
          <w:noProof/>
        </w:rPr>
      </w:pPr>
      <w:r>
        <w:rPr>
          <w:b/>
          <w:noProof/>
        </w:rPr>
        <w:br w:type="page"/>
      </w:r>
    </w:p>
    <w:p w14:paraId="6ED39A6B" w14:textId="2432FDF3" w:rsidR="009E23E9" w:rsidRDefault="009E23E9" w:rsidP="009E23E9">
      <w:pPr>
        <w:pStyle w:val="Heading1"/>
      </w:pPr>
      <w:r>
        <w:lastRenderedPageBreak/>
        <w:t xml:space="preserve">Panel 6E: </w:t>
      </w:r>
      <w:r w:rsidRPr="009E23E9">
        <w:t>Understanding Cultures</w:t>
      </w:r>
    </w:p>
    <w:p w14:paraId="53452014" w14:textId="77777777" w:rsidR="009E23E9" w:rsidRPr="009E23E9" w:rsidRDefault="009E23E9" w:rsidP="009E23E9"/>
    <w:p w14:paraId="445FE431" w14:textId="32B8354D" w:rsidR="0048524B" w:rsidRDefault="0048524B">
      <w:r w:rsidRPr="002E1C1E">
        <w:rPr>
          <w:b/>
          <w:noProof/>
        </w:rPr>
        <w:t>Marianne</w:t>
      </w:r>
      <w:r w:rsidRPr="008357DE">
        <w:rPr>
          <w:b/>
        </w:rPr>
        <w:t xml:space="preserve"> </w:t>
      </w:r>
      <w:r w:rsidRPr="002E1C1E">
        <w:rPr>
          <w:b/>
          <w:noProof/>
        </w:rPr>
        <w:t>Chua Mingwei</w:t>
      </w:r>
      <w:r w:rsidRPr="008357DE">
        <w:rPr>
          <w:b/>
        </w:rPr>
        <w:t xml:space="preserve"> </w:t>
      </w:r>
      <w:r>
        <w:rPr>
          <w:b/>
        </w:rPr>
        <w:t xml:space="preserve"> </w:t>
      </w:r>
      <w:r w:rsidRPr="008357DE">
        <w:t>(</w:t>
      </w:r>
      <w:r>
        <w:rPr>
          <w:noProof/>
        </w:rPr>
        <w:t>NTU</w:t>
      </w:r>
      <w:r w:rsidR="00A17261">
        <w:t>)</w:t>
      </w:r>
    </w:p>
    <w:p w14:paraId="2DC1F468" w14:textId="77777777" w:rsidR="0048524B" w:rsidRDefault="0048524B">
      <w:pPr>
        <w:rPr>
          <w:i/>
        </w:rPr>
      </w:pPr>
      <w:r w:rsidRPr="002E1C1E">
        <w:rPr>
          <w:i/>
          <w:noProof/>
        </w:rPr>
        <w:t>The Journey Within: Heroic travel bloggers</w:t>
      </w:r>
    </w:p>
    <w:p w14:paraId="04CA1400" w14:textId="77777777" w:rsidR="0048524B" w:rsidRDefault="0048524B">
      <w:r>
        <w:rPr>
          <w:noProof/>
        </w:rPr>
        <w:t>Travel bloggers make the unknown known and, as every storyteller does, they assume certain identities. Blogging about their (mis)adventures, one identity assumed is that of the hero, the brave one who meets and overcomes dangers and lives to tell the tale. The perceived credibility of the travel blogger builds their social capital as more readers follow them, which in turn allows them to fund their next travel professionally. This project examined the types of risks travel bloggers experience and how the image of a hero is constructed for the reader. Using a cultural studies approach, the project focused on the representation of the writer and their destination as a place to conquer and boast of. Two main research questions were critically pinpointed in the project. The first was an examination of how travel bloggers narrate the challenges they face as external (e.g. bad weather, poor living conditions and other unfortunate events) or internal (e.g. lack of self-confidence, fear of heights or others). The classification of external and internal loci for risk/danger drew relationships to how travel bloggers represent themselves in answer to the second research question: which of the three identities is assumed to make themselves and their adventures heroic – the Gift Giver, Transformed Traveller or Easy Rider? Following the results of the inextricable links between the two research questions, the project hopes for future studies on how the heroic image of travel bloggers enables a conversion of social to economic capital, leading to a sustainable professional income.</w:t>
      </w:r>
    </w:p>
    <w:p w14:paraId="576DEBC9" w14:textId="77777777" w:rsidR="0048524B" w:rsidRDefault="0048524B"/>
    <w:p w14:paraId="2EFB692B" w14:textId="6CE74378" w:rsidR="0048524B" w:rsidRDefault="0048524B">
      <w:r w:rsidRPr="002E1C1E">
        <w:rPr>
          <w:b/>
          <w:noProof/>
        </w:rPr>
        <w:t>Jessica</w:t>
      </w:r>
      <w:r w:rsidRPr="008357DE">
        <w:rPr>
          <w:b/>
        </w:rPr>
        <w:t xml:space="preserve"> </w:t>
      </w:r>
      <w:r w:rsidRPr="002E1C1E">
        <w:rPr>
          <w:b/>
          <w:noProof/>
        </w:rPr>
        <w:t>Hargreaves</w:t>
      </w:r>
      <w:r w:rsidRPr="008357DE">
        <w:rPr>
          <w:b/>
        </w:rPr>
        <w:t xml:space="preserve"> </w:t>
      </w:r>
      <w:r>
        <w:rPr>
          <w:b/>
        </w:rPr>
        <w:t xml:space="preserve"> </w:t>
      </w:r>
      <w:r w:rsidRPr="008357DE">
        <w:t>(</w:t>
      </w:r>
      <w:r>
        <w:rPr>
          <w:noProof/>
        </w:rPr>
        <w:t>University of Warwick</w:t>
      </w:r>
      <w:r w:rsidR="00A17261">
        <w:t>)</w:t>
      </w:r>
    </w:p>
    <w:p w14:paraId="7DFE66B7" w14:textId="77777777" w:rsidR="0048524B" w:rsidRDefault="0048524B">
      <w:pPr>
        <w:rPr>
          <w:i/>
        </w:rPr>
      </w:pPr>
      <w:r w:rsidRPr="002E1C1E">
        <w:rPr>
          <w:i/>
          <w:noProof/>
        </w:rPr>
        <w:t>Based on a True Story: How and why literature is becoming ‘auto-fictional’ in the post-truth era</w:t>
      </w:r>
    </w:p>
    <w:p w14:paraId="23B7815A" w14:textId="77777777" w:rsidR="0048524B" w:rsidRDefault="0048524B" w:rsidP="00AC7DBF">
      <w:pPr>
        <w:rPr>
          <w:noProof/>
        </w:rPr>
      </w:pPr>
      <w:r>
        <w:rPr>
          <w:noProof/>
        </w:rPr>
        <w:t>My research project assesses how and why twenty-first century literature is becoming increasingly auto-fictional. In auto-fiction, or ‘fictional autobiography’, authors use the medium of the novel to both explore their role as a writer and document their writing process. As the author is present in their own fiction, the boundaries between fact (the author’s real biography) and fiction (the plot of the novel) become indistinct; the novel exists in a space that is neither fiction nor autobiography. My project will explore why this trend of auto-fiction is emerging now, and whether this literary trend has been influenced by the prevalence of social media.</w:t>
      </w:r>
    </w:p>
    <w:p w14:paraId="51EA31BC" w14:textId="77777777" w:rsidR="0048524B" w:rsidRDefault="0048524B">
      <w:r>
        <w:rPr>
          <w:noProof/>
        </w:rPr>
        <w:t>In order to begin to answer the questions I have outlined above, I will read and analyse a selection of critically acclaimed auto-fictional novels published since 2000, such as those by Ben Lerner, Sheila Heti and Karl Ove Knausgaard. I will read these texts against post-modern media theorists such as Donna Harroway and Friedrich Kittler. These theorists focus on the digitalisation of society, the resultant instability of what it means to be human and the fear that humanity is becoming obsolete. It is with these theories in mind that I will consider why authors are both distancing themselves from fiction and duplicating themselves within their works. I am expecting to argue that auto-fiction reflects an increasing need to assert oneself and define one’s role within a society that is increasingly detached and digital, and which demands a constant presentation of the self on social media.</w:t>
      </w:r>
    </w:p>
    <w:p w14:paraId="2082E38C" w14:textId="77777777" w:rsidR="0048524B" w:rsidRDefault="0048524B"/>
    <w:p w14:paraId="3CF8F484" w14:textId="77777777" w:rsidR="00A17261" w:rsidRDefault="00A17261">
      <w:pPr>
        <w:rPr>
          <w:b/>
          <w:noProof/>
        </w:rPr>
      </w:pPr>
      <w:r>
        <w:rPr>
          <w:b/>
          <w:noProof/>
        </w:rPr>
        <w:br w:type="page"/>
      </w:r>
    </w:p>
    <w:p w14:paraId="58603B10" w14:textId="62ADB4AB" w:rsidR="0048524B" w:rsidRDefault="0048524B">
      <w:r w:rsidRPr="002E1C1E">
        <w:rPr>
          <w:b/>
          <w:noProof/>
        </w:rPr>
        <w:lastRenderedPageBreak/>
        <w:t>Katie</w:t>
      </w:r>
      <w:r w:rsidRPr="008357DE">
        <w:rPr>
          <w:b/>
        </w:rPr>
        <w:t xml:space="preserve"> </w:t>
      </w:r>
      <w:r w:rsidRPr="002E1C1E">
        <w:rPr>
          <w:b/>
          <w:noProof/>
        </w:rPr>
        <w:t>Walters</w:t>
      </w:r>
      <w:r w:rsidRPr="008357DE">
        <w:rPr>
          <w:b/>
        </w:rPr>
        <w:t xml:space="preserve"> </w:t>
      </w:r>
      <w:r>
        <w:rPr>
          <w:b/>
        </w:rPr>
        <w:t xml:space="preserve"> </w:t>
      </w:r>
      <w:r w:rsidRPr="008357DE">
        <w:t>(</w:t>
      </w:r>
      <w:r>
        <w:rPr>
          <w:noProof/>
        </w:rPr>
        <w:t>University of Warwick</w:t>
      </w:r>
      <w:r w:rsidR="00A17261">
        <w:t>)</w:t>
      </w:r>
    </w:p>
    <w:p w14:paraId="7EC6C068" w14:textId="77777777" w:rsidR="0048524B" w:rsidRDefault="0048524B">
      <w:pPr>
        <w:rPr>
          <w:i/>
        </w:rPr>
      </w:pPr>
      <w:r w:rsidRPr="002E1C1E">
        <w:rPr>
          <w:i/>
          <w:noProof/>
        </w:rPr>
        <w:t>The Politics of Walking: A disabled perspective on transcendentalist environmentalism</w:t>
      </w:r>
    </w:p>
    <w:p w14:paraId="29D04FB1" w14:textId="77777777" w:rsidR="0048524B" w:rsidRDefault="0048524B">
      <w:r>
        <w:rPr>
          <w:noProof/>
        </w:rPr>
        <w:t>Thoreau’s essay ‘Walking’ is an early and influential work of American environmental writing, which works to emphasise the emotional and societal value of wilderness and to politicise walking as an act. The ideas that Thoreau explores in ‘Walking’, and other essays such as ‘Civil Disobedience’, have impacted the development of our perspectives on environmentalism and protest and have had a lasting influence on environmental thought, which is evident even today. But if the act of walking is considered an essential aspect of the demonstration of environmental concern, how are the physically disabled to interact with, and participate in, environmental thought? This presentation will identify the ways in which the language and ideology of Thoreau’s work, and transcendental thought more broadly, has reinforced the problematic relationship between the environment and the physically disabled, or ‘crippled’, body. I will then discuss how biases in Thoreau’s writing have been propagated into the present in the form of American adventure culture, and in the more recent work of Bill McKibben. Finally, I will explore the common ground that environmentalism and disability studies share – in the form of anti-capitalism and radical existence – and imagine what a form of environmentalism that fully embraced the concerns of the physically disabled might look like.</w:t>
      </w:r>
    </w:p>
    <w:p w14:paraId="378E0128" w14:textId="77777777" w:rsidR="0048524B" w:rsidRDefault="0048524B"/>
    <w:p w14:paraId="5DCF3CC9" w14:textId="4B5A4FA1" w:rsidR="0048524B" w:rsidRDefault="0048524B">
      <w:r w:rsidRPr="002E1C1E">
        <w:rPr>
          <w:b/>
          <w:noProof/>
        </w:rPr>
        <w:t>Vincent</w:t>
      </w:r>
      <w:r w:rsidRPr="008357DE">
        <w:rPr>
          <w:b/>
        </w:rPr>
        <w:t xml:space="preserve"> </w:t>
      </w:r>
      <w:r w:rsidRPr="002E1C1E">
        <w:rPr>
          <w:b/>
          <w:noProof/>
        </w:rPr>
        <w:t>Loh</w:t>
      </w:r>
      <w:r w:rsidRPr="008357DE">
        <w:rPr>
          <w:b/>
        </w:rPr>
        <w:t xml:space="preserve"> </w:t>
      </w:r>
      <w:r>
        <w:rPr>
          <w:b/>
        </w:rPr>
        <w:t xml:space="preserve"> </w:t>
      </w:r>
      <w:r w:rsidRPr="008357DE">
        <w:t>(</w:t>
      </w:r>
      <w:r>
        <w:rPr>
          <w:noProof/>
        </w:rPr>
        <w:t>University of Warwick</w:t>
      </w:r>
      <w:r w:rsidR="00A17261">
        <w:t>)</w:t>
      </w:r>
    </w:p>
    <w:p w14:paraId="725BE261" w14:textId="77777777" w:rsidR="0048524B" w:rsidRDefault="0048524B">
      <w:pPr>
        <w:rPr>
          <w:i/>
        </w:rPr>
      </w:pPr>
      <w:r w:rsidRPr="002E1C1E">
        <w:rPr>
          <w:i/>
          <w:noProof/>
        </w:rPr>
        <w:t>Post-colonial Modernity: Malayan disillusionment in the harmony silk factory</w:t>
      </w:r>
    </w:p>
    <w:p w14:paraId="4A088AA4" w14:textId="77777777" w:rsidR="0048524B" w:rsidRDefault="0048524B" w:rsidP="00AC7DBF">
      <w:pPr>
        <w:rPr>
          <w:noProof/>
        </w:rPr>
      </w:pPr>
      <w:r>
        <w:rPr>
          <w:noProof/>
        </w:rPr>
        <w:t>The concepts of ‘modernity’ (specifically, what is often called ‘late’ modernity) and ‘postcolonialism’ have both been important ideas in the field of literary criticism in the past half-century. While generally treated as disparate concepts, there are also significant and massive overlaps between both critical frameworks: theorists of both often focus on a similar sense of disillusionment and exile from an unattainable past.</w:t>
      </w:r>
    </w:p>
    <w:p w14:paraId="44BB8288" w14:textId="77777777" w:rsidR="0048524B" w:rsidRDefault="0048524B" w:rsidP="00AC7DBF">
      <w:pPr>
        <w:rPr>
          <w:noProof/>
        </w:rPr>
      </w:pPr>
      <w:r>
        <w:rPr>
          <w:noProof/>
        </w:rPr>
        <w:t>In spite of these parallels, however, there have been few attempts to bring them together in explicit ways; for example, critical analysis on how disillusionment in the modern world feeds into the post-colonial experience of displacement and exile. I believe that there is significant untapped insight and knowledge to be gained from drawing critical links between these two concepts, which remains under-utilised.</w:t>
      </w:r>
    </w:p>
    <w:p w14:paraId="688B63C9" w14:textId="77777777" w:rsidR="0048524B" w:rsidRDefault="0048524B" w:rsidP="00AC7DBF">
      <w:pPr>
        <w:rPr>
          <w:noProof/>
        </w:rPr>
      </w:pPr>
      <w:r>
        <w:rPr>
          <w:noProof/>
        </w:rPr>
        <w:t>This paper will attempt to fill this epistemic gap in a Southeast Asian context by closely reading Tash Aw’s The Harmony Silk Factory, a novel set during the Japanese Invasion of Malaya in 1941. Taking place against the backdrop of two major imperialist projects – the ‘Pax Britannica’ of British colonialism and the Nanshin-ron strategy of the Second World War era Japanese Empire – as well as the modernity of twentieth-century Malaya, the novel can serve as a useful nexus for analysing how these two concepts intersect.</w:t>
      </w:r>
    </w:p>
    <w:p w14:paraId="468001B1" w14:textId="77777777" w:rsidR="0048524B" w:rsidRDefault="0048524B">
      <w:r>
        <w:rPr>
          <w:noProof/>
        </w:rPr>
        <w:t>By analysing this novel in detail, I will attempt to demonstrate how The Harmony Silk Factory blends and synthesises ideas of both postcolonialism and modernity into a new paradigm of understanding disillusionment and exile in the world of Southeast Asia.</w:t>
      </w:r>
    </w:p>
    <w:p w14:paraId="37CDBDD1" w14:textId="77777777" w:rsidR="0048524B" w:rsidRDefault="0048524B"/>
    <w:p w14:paraId="026DF21E" w14:textId="77777777" w:rsidR="00A17261" w:rsidRDefault="00A17261">
      <w:pPr>
        <w:rPr>
          <w:b/>
          <w:noProof/>
        </w:rPr>
      </w:pPr>
      <w:r>
        <w:rPr>
          <w:b/>
          <w:noProof/>
        </w:rPr>
        <w:br w:type="page"/>
      </w:r>
    </w:p>
    <w:p w14:paraId="1DACB89B" w14:textId="2E74B4DE" w:rsidR="00A17261" w:rsidRDefault="00A17261" w:rsidP="00A17261">
      <w:pPr>
        <w:pStyle w:val="Heading1"/>
      </w:pPr>
      <w:r w:rsidRPr="00A17261">
        <w:lastRenderedPageBreak/>
        <w:t>Panel 6F: Environment</w:t>
      </w:r>
    </w:p>
    <w:p w14:paraId="4E4B7094" w14:textId="77777777" w:rsidR="00A17261" w:rsidRPr="00A17261" w:rsidRDefault="00A17261" w:rsidP="00A17261"/>
    <w:p w14:paraId="6AF7BE95" w14:textId="62C05EA3" w:rsidR="0048524B" w:rsidRDefault="0048524B">
      <w:r w:rsidRPr="002E1C1E">
        <w:rPr>
          <w:b/>
          <w:noProof/>
        </w:rPr>
        <w:t>Nicholas</w:t>
      </w:r>
      <w:r w:rsidRPr="008357DE">
        <w:rPr>
          <w:b/>
        </w:rPr>
        <w:t xml:space="preserve"> </w:t>
      </w:r>
      <w:r w:rsidRPr="002E1C1E">
        <w:rPr>
          <w:b/>
          <w:noProof/>
        </w:rPr>
        <w:t>Lim Rong Sheng</w:t>
      </w:r>
      <w:r w:rsidRPr="008357DE">
        <w:rPr>
          <w:b/>
        </w:rPr>
        <w:t xml:space="preserve"> </w:t>
      </w:r>
      <w:r>
        <w:rPr>
          <w:b/>
        </w:rPr>
        <w:t xml:space="preserve"> </w:t>
      </w:r>
      <w:r w:rsidRPr="008357DE">
        <w:t>(</w:t>
      </w:r>
      <w:r>
        <w:rPr>
          <w:noProof/>
        </w:rPr>
        <w:t>NTU</w:t>
      </w:r>
      <w:r w:rsidR="00600371">
        <w:t>)</w:t>
      </w:r>
    </w:p>
    <w:p w14:paraId="3D575B28" w14:textId="77777777" w:rsidR="0048524B" w:rsidRDefault="0048524B">
      <w:pPr>
        <w:rPr>
          <w:i/>
        </w:rPr>
      </w:pPr>
      <w:r w:rsidRPr="002E1C1E">
        <w:rPr>
          <w:i/>
          <w:noProof/>
        </w:rPr>
        <w:t>Mix Design Of Porous Asphalt Mix (PAM)</w:t>
      </w:r>
    </w:p>
    <w:p w14:paraId="5B50DF47" w14:textId="77777777" w:rsidR="0048524B" w:rsidRDefault="0048524B">
      <w:r>
        <w:rPr>
          <w:noProof/>
        </w:rPr>
        <w:t>The objective of this study is to investigate the feasibility of utilising sedimentary rocks and granite aggregates in the construction of low-strength pavement made of porous asphalt mixture. Physical properties of sedimentary rock aggregate were also examined to further determine its suitability for asphalt pavements. For the purpose of specimen batching, three experimental groups (EG1, EG2 and EG3) with different compositions of aggregates were evaluated using PG76 binder rather than the conventional PEN 60/70, as PG76 has better properties. The sedimentary rock aggregates were crushed to sizes smaller than 19mm and sieved according to the sizes required for the mix design. Comprehensive laboratory tests, including Marshall Stability, Draindown, Cantabro, Moisture Susceptibility and Theoretical Maximum Density Tests, were conducted on the specimens of different mixes to assess the adequacy of the mix for well-fitting applications. The optimum binder content was found to be 4.5 per cent and 5.0 per cent for EG1 (granite control group) and EG3 (contains both granite and sedimentary aggregates) respectively. No further experiment was done on EG2 as it did not meet the Marshall Stability value requirement of 4.0 kN for low-strength pavements. More research is needed to further evaluate the feasibility of using sedimentary rocks in porous asphalt as EG3 satisfies the Marshall Stability value requirement but does not satisfy the moisture susceptibility condition.</w:t>
      </w:r>
    </w:p>
    <w:p w14:paraId="48928727" w14:textId="77777777" w:rsidR="0048524B" w:rsidRDefault="0048524B"/>
    <w:p w14:paraId="3857AD46" w14:textId="32C12AAB" w:rsidR="0048524B" w:rsidRDefault="0048524B">
      <w:r w:rsidRPr="002E1C1E">
        <w:rPr>
          <w:b/>
          <w:noProof/>
        </w:rPr>
        <w:t>Cara</w:t>
      </w:r>
      <w:r w:rsidRPr="008357DE">
        <w:rPr>
          <w:b/>
        </w:rPr>
        <w:t xml:space="preserve"> </w:t>
      </w:r>
      <w:r w:rsidRPr="002E1C1E">
        <w:rPr>
          <w:b/>
          <w:noProof/>
        </w:rPr>
        <w:t>Wheeldon</w:t>
      </w:r>
      <w:r w:rsidRPr="008357DE">
        <w:rPr>
          <w:b/>
        </w:rPr>
        <w:t xml:space="preserve"> </w:t>
      </w:r>
      <w:r>
        <w:rPr>
          <w:b/>
        </w:rPr>
        <w:t xml:space="preserve"> </w:t>
      </w:r>
      <w:r w:rsidRPr="008357DE">
        <w:t>(</w:t>
      </w:r>
      <w:r>
        <w:rPr>
          <w:noProof/>
        </w:rPr>
        <w:t>University of Leeds</w:t>
      </w:r>
      <w:r w:rsidR="00600371">
        <w:t>)</w:t>
      </w:r>
    </w:p>
    <w:p w14:paraId="169F228F" w14:textId="77777777" w:rsidR="0048524B" w:rsidRDefault="0048524B">
      <w:pPr>
        <w:rPr>
          <w:i/>
        </w:rPr>
      </w:pPr>
      <w:r w:rsidRPr="002E1C1E">
        <w:rPr>
          <w:i/>
          <w:noProof/>
        </w:rPr>
        <w:t>Root Restriction and its Effects on Plant Growth</w:t>
      </w:r>
    </w:p>
    <w:p w14:paraId="71FD9067" w14:textId="77777777" w:rsidR="0048524B" w:rsidRDefault="0048524B" w:rsidP="00AC7DBF">
      <w:pPr>
        <w:rPr>
          <w:noProof/>
        </w:rPr>
      </w:pPr>
      <w:r>
        <w:rPr>
          <w:noProof/>
        </w:rPr>
        <w:t>Plants are sensitive to the availability of a range of resources, but the effects of root restriction and high-density sowing are understudied. Most plant science research involves the growth of plants in a pot, and in the field, crops are often densely sown. Understanding the effect of root volume on the accumulation of biomass, branch production and yield is limited. Further to this, as large amounts of fertiliser are used in agriculture, it is not understood whether this is able to prevent any negative effects of high-density sowing and root restriction. To assess the effects of root restriction on plant growth, oilseed rape, wheat, barley and the model plant species Arabidopsis thaliana were grown in a range of pot sizes with two fertiliser conditions. Crowding (high-density sowing) and root restriction in A. thaliana grown in different pot sizes with different sowing densities were also assessed. A range of measurements was taken for all species, including biomass, branch number and yield. Root restriction and high-density sowing were seen to negatively impact the accumulation of biomass, branch production and yield in all species assessed, to which fertiliser was unable to prevent this outcome. This research highlights the need for the refinement of field sowing rates. Sowing crops further apart is a suggestion to improve yield on a worldwide scale in order to help overcome the global food crisis.</w:t>
      </w:r>
    </w:p>
    <w:p w14:paraId="2799B20F" w14:textId="77777777" w:rsidR="0048524B" w:rsidRDefault="0048524B">
      <w:r>
        <w:rPr>
          <w:noProof/>
        </w:rPr>
        <w:t>Keywords: Root restriction, high-density sowing, Arabidopsis thaliana, wheat, barley, oilseed rape</w:t>
      </w:r>
    </w:p>
    <w:p w14:paraId="4E50BFFE" w14:textId="77777777" w:rsidR="0048524B" w:rsidRDefault="0048524B"/>
    <w:p w14:paraId="7AA81435" w14:textId="77777777" w:rsidR="00600371" w:rsidRDefault="00600371">
      <w:pPr>
        <w:rPr>
          <w:b/>
          <w:noProof/>
        </w:rPr>
      </w:pPr>
      <w:r>
        <w:rPr>
          <w:b/>
          <w:noProof/>
        </w:rPr>
        <w:br w:type="page"/>
      </w:r>
    </w:p>
    <w:p w14:paraId="0AE24540" w14:textId="378EC1A8" w:rsidR="0048524B" w:rsidRDefault="0048524B">
      <w:r w:rsidRPr="002E1C1E">
        <w:rPr>
          <w:b/>
          <w:noProof/>
        </w:rPr>
        <w:lastRenderedPageBreak/>
        <w:t>Bogomil</w:t>
      </w:r>
      <w:r w:rsidRPr="008357DE">
        <w:rPr>
          <w:b/>
        </w:rPr>
        <w:t xml:space="preserve"> </w:t>
      </w:r>
      <w:r w:rsidRPr="002E1C1E">
        <w:rPr>
          <w:b/>
          <w:noProof/>
        </w:rPr>
        <w:t>Georgiev</w:t>
      </w:r>
      <w:r w:rsidRPr="008357DE">
        <w:rPr>
          <w:b/>
        </w:rPr>
        <w:t xml:space="preserve"> </w:t>
      </w:r>
      <w:r>
        <w:rPr>
          <w:b/>
        </w:rPr>
        <w:t xml:space="preserve"> </w:t>
      </w:r>
      <w:r w:rsidRPr="008357DE">
        <w:t>(</w:t>
      </w:r>
      <w:r>
        <w:rPr>
          <w:noProof/>
        </w:rPr>
        <w:t>University of Leeds</w:t>
      </w:r>
      <w:r w:rsidR="00600371">
        <w:t>)</w:t>
      </w:r>
    </w:p>
    <w:p w14:paraId="258750CA" w14:textId="77777777" w:rsidR="0048524B" w:rsidRDefault="0048524B">
      <w:pPr>
        <w:rPr>
          <w:i/>
        </w:rPr>
      </w:pPr>
      <w:r w:rsidRPr="002E1C1E">
        <w:rPr>
          <w:i/>
          <w:noProof/>
        </w:rPr>
        <w:t>Magmatic Timescales in Volcanos From the Southern Volcanic Zone in Chile</w:t>
      </w:r>
    </w:p>
    <w:p w14:paraId="5333131F" w14:textId="77777777" w:rsidR="0048524B" w:rsidRDefault="0048524B" w:rsidP="00AC7DBF">
      <w:pPr>
        <w:rPr>
          <w:noProof/>
        </w:rPr>
      </w:pPr>
      <w:r>
        <w:rPr>
          <w:noProof/>
        </w:rPr>
        <w:t>For my research project, I am studying the magma source and its movement towards the surface in three volcanos in Chile: Osorno, Calbuco and La Viguería. These volcanos are part of the Southern Volcanic Zone, which is located over a subduction zone where the Nazca plate is subducting underneath the South American continent. This process creates dehydration melting in the mantle. The Southern Volcanic Zone is affected by a 1000-kilometre long fault known as ‘Liquiñe-Ofqui Fault Zone’. It has been hypothesised that this fault has a large influence on the speed magma ascent, particularly in the small eruptive centres such as La Viguería, since it creates an easier path for the magma to go through. Furthermore, it is believed that some of the neighbouring volcanos have the same magma source.</w:t>
      </w:r>
    </w:p>
    <w:p w14:paraId="69717FE0" w14:textId="77777777" w:rsidR="0048524B" w:rsidRDefault="0048524B">
      <w:r>
        <w:rPr>
          <w:noProof/>
        </w:rPr>
        <w:t>It is important to know the composition of the original magma in order to model the magma ascent. The purpose of this research project is to reconstruct the initial conditions in the mantle by using trace rare earth elements concentration and the isotope ratios of strontium, neodymium and lead. Rare earth elements are particularly useful for reconstructing the degree of partial melting and fractional crystallisation. The Sr, Nd and Pb isotope ratios can be used to estimate the amount of magma mixing with subducting ocean sediments from the Nazca plate and crustal material. Using the isotope ratios the hypothesis for the same source in the volcano can be tested. The findings of the study will be used in modelling the magmatic time scales of these volcanos, which will improve our understanding of these volcanic processes and help make better predictions for future eruptions.</w:t>
      </w:r>
    </w:p>
    <w:p w14:paraId="424398A1" w14:textId="77777777" w:rsidR="0048524B" w:rsidRDefault="0048524B"/>
    <w:p w14:paraId="364333AD" w14:textId="235BC35C" w:rsidR="0048524B" w:rsidRDefault="0048524B">
      <w:r w:rsidRPr="002E1C1E">
        <w:rPr>
          <w:b/>
          <w:noProof/>
        </w:rPr>
        <w:t>Isaac</w:t>
      </w:r>
      <w:r w:rsidRPr="008357DE">
        <w:rPr>
          <w:b/>
        </w:rPr>
        <w:t xml:space="preserve"> </w:t>
      </w:r>
      <w:r w:rsidRPr="002E1C1E">
        <w:rPr>
          <w:b/>
          <w:noProof/>
        </w:rPr>
        <w:t>Tan</w:t>
      </w:r>
      <w:r w:rsidRPr="008357DE">
        <w:rPr>
          <w:b/>
        </w:rPr>
        <w:t xml:space="preserve"> </w:t>
      </w:r>
      <w:r>
        <w:rPr>
          <w:b/>
        </w:rPr>
        <w:t xml:space="preserve"> </w:t>
      </w:r>
      <w:r w:rsidRPr="008357DE">
        <w:t>(</w:t>
      </w:r>
      <w:r>
        <w:rPr>
          <w:noProof/>
        </w:rPr>
        <w:t>University of Leeds</w:t>
      </w:r>
      <w:r w:rsidR="00600371">
        <w:t>)</w:t>
      </w:r>
    </w:p>
    <w:p w14:paraId="4B224FDC" w14:textId="77777777" w:rsidR="0048524B" w:rsidRDefault="0048524B">
      <w:pPr>
        <w:rPr>
          <w:i/>
        </w:rPr>
      </w:pPr>
      <w:r w:rsidRPr="002E1C1E">
        <w:rPr>
          <w:i/>
          <w:noProof/>
        </w:rPr>
        <w:t>The Relationship Between Rainfall Characteristics and the Atmospheric Conditions over Singapore</w:t>
      </w:r>
    </w:p>
    <w:p w14:paraId="7E5E86DB" w14:textId="77777777" w:rsidR="0048524B" w:rsidRDefault="0048524B">
      <w:r>
        <w:rPr>
          <w:noProof/>
        </w:rPr>
        <w:t>Singapore experiences a significant amount of severe rainfall from intense thunderstorms that can result in flash floods over low-lying areas, causing disruption and risk to life. Rainfall patterns over Singapore from 1980 to 2011 were analysed by studying the interaction between large-scale atmospheric conditions and 15 constructed ‘weather regimes’ to better understand the precursors of severe weather, and to improve short-term rainfall forecasts over Singapore. The ‘weather regimes’ were firstly separated into cases where wind direction was from the north or south, and then clustered using a non-hierarchical statistical method known as k-means clustering. Each regime has unique rainfall characteristics that are largely influenced by local weather conditions. Local conditions were recorded by Upper Air Observation (UAO) soundings at various altitudes. Rainfall maps were then produced for specific combinations of atmospheric conditions to analyse the mean daily rainfall intensity (mm/day), the daily risk of heavy rain (≥50mm/h) occurrences, and the probability of rainfall (≥1mm) at three-hourly intervals each day over different parts of Singapore. Findings from this study illustrate that changes in atmospheric conditions on both large and small scales affect the timing, intensity and locations of rainfall. These changes also affect the risk of heavy rain events over different parts of the island. Therefore, the aim of this study is to provide detailed guidance for rainfall forecasts over different parts of Singapore by holistically considering the regional atmospheric conditions and local ‘weather regimes’ on a daily basis. Such improvements in rainfall forecasts would be beneficial for stakeholders that are potentially vulnerable to flash floods from heavy rain, and even prolonged dry spells that could lead to water shortages over the island.</w:t>
      </w:r>
    </w:p>
    <w:p w14:paraId="0B687AE5" w14:textId="6FD09371" w:rsidR="0048524B" w:rsidRDefault="00FD425E" w:rsidP="008E3685">
      <w:pPr>
        <w:pStyle w:val="Heading1"/>
      </w:pPr>
      <w:r>
        <w:lastRenderedPageBreak/>
        <w:t xml:space="preserve">Panel </w:t>
      </w:r>
      <w:r w:rsidR="008E3685">
        <w:t xml:space="preserve">7A: </w:t>
      </w:r>
      <w:r w:rsidR="008E3685" w:rsidRPr="008E3685">
        <w:t>Religion, Culture, and Identity</w:t>
      </w:r>
    </w:p>
    <w:p w14:paraId="2FB5591A" w14:textId="77777777" w:rsidR="008E3685" w:rsidRPr="008E3685" w:rsidRDefault="008E3685" w:rsidP="008E3685"/>
    <w:p w14:paraId="423F5611" w14:textId="3AE844F3" w:rsidR="0048524B" w:rsidRDefault="0048524B">
      <w:r w:rsidRPr="002E1C1E">
        <w:rPr>
          <w:b/>
          <w:noProof/>
        </w:rPr>
        <w:t>Roshin</w:t>
      </w:r>
      <w:r w:rsidRPr="008357DE">
        <w:rPr>
          <w:b/>
        </w:rPr>
        <w:t xml:space="preserve"> </w:t>
      </w:r>
      <w:r w:rsidRPr="002E1C1E">
        <w:rPr>
          <w:b/>
          <w:noProof/>
        </w:rPr>
        <w:t>Ebrahim</w:t>
      </w:r>
      <w:r w:rsidRPr="008357DE">
        <w:rPr>
          <w:b/>
        </w:rPr>
        <w:t xml:space="preserve"> </w:t>
      </w:r>
      <w:r>
        <w:rPr>
          <w:b/>
        </w:rPr>
        <w:t xml:space="preserve"> </w:t>
      </w:r>
      <w:r w:rsidRPr="008357DE">
        <w:t>(</w:t>
      </w:r>
      <w:r>
        <w:rPr>
          <w:noProof/>
        </w:rPr>
        <w:t>Monash University South Africa</w:t>
      </w:r>
      <w:r w:rsidR="008E3685">
        <w:t>)</w:t>
      </w:r>
    </w:p>
    <w:p w14:paraId="12D5B0D5" w14:textId="77777777" w:rsidR="0048524B" w:rsidRDefault="0048524B">
      <w:pPr>
        <w:rPr>
          <w:i/>
        </w:rPr>
      </w:pPr>
      <w:r w:rsidRPr="002E1C1E">
        <w:rPr>
          <w:i/>
          <w:noProof/>
        </w:rPr>
        <w:t>Analysis of Depression in an Indian, Sunni Muslim Community</w:t>
      </w:r>
    </w:p>
    <w:p w14:paraId="2AED8903" w14:textId="77777777" w:rsidR="0048524B" w:rsidRDefault="0048524B">
      <w:r>
        <w:rPr>
          <w:noProof/>
        </w:rPr>
        <w:t>Indian Sunni Muslims believe that depression does not exist for Muslims; they believe that it has a supernatural cause rather than it being a medical disorder. The project will explore the construct of depression and try to understand how Indian communities, specifically the Sunni Muslims, perceive depression. The method of data collection will be qualitative data collection through focus groups, which will be analysed and interpreted through qualitative data analysis called coding. Coding is a process that analyses data in order to make it more sensible by dividing the data into categories. The expected outcome is that most Indian Muslims will perceive depression from a spiritual perspective, and will believe that depression is a disease of the heart. They will continue to believe depression as being non-existent in their religion and that it is a Western disease. However, this prediction may not be true as the perspectives of every individual are yet to be discovered. The study will help recognise areas of psychology that need to be improved and may signal a need for psychologists to educate people in such countries about mental health. This research may help uncover certain aspects in the field of depression that have never been discovered as well as adding great value to existing literature since it might have new concepts and ideas to look at.</w:t>
      </w:r>
    </w:p>
    <w:p w14:paraId="75AE0351" w14:textId="77777777" w:rsidR="0048524B" w:rsidRDefault="0048524B"/>
    <w:p w14:paraId="2FC2225A" w14:textId="29D8DAA0" w:rsidR="0048524B" w:rsidRDefault="0048524B">
      <w:r w:rsidRPr="002E1C1E">
        <w:rPr>
          <w:b/>
          <w:noProof/>
        </w:rPr>
        <w:t>Chris Shane</w:t>
      </w:r>
      <w:r w:rsidRPr="008357DE">
        <w:rPr>
          <w:b/>
        </w:rPr>
        <w:t xml:space="preserve"> </w:t>
      </w:r>
      <w:r w:rsidRPr="002E1C1E">
        <w:rPr>
          <w:b/>
          <w:noProof/>
        </w:rPr>
        <w:t>Bhatti</w:t>
      </w:r>
      <w:r w:rsidRPr="008357DE">
        <w:rPr>
          <w:b/>
        </w:rPr>
        <w:t xml:space="preserve"> </w:t>
      </w:r>
      <w:r>
        <w:rPr>
          <w:b/>
        </w:rPr>
        <w:t xml:space="preserve"> </w:t>
      </w:r>
      <w:r w:rsidRPr="008357DE">
        <w:t>(</w:t>
      </w:r>
      <w:r>
        <w:rPr>
          <w:noProof/>
        </w:rPr>
        <w:t>University of Warwick</w:t>
      </w:r>
      <w:r w:rsidR="008E3685">
        <w:t>)</w:t>
      </w:r>
    </w:p>
    <w:p w14:paraId="45ACAE23" w14:textId="77777777" w:rsidR="0048524B" w:rsidRDefault="0048524B">
      <w:pPr>
        <w:rPr>
          <w:i/>
        </w:rPr>
      </w:pPr>
      <w:r w:rsidRPr="002E1C1E">
        <w:rPr>
          <w:i/>
          <w:noProof/>
        </w:rPr>
        <w:t>The Missing Identity of Christian Pakistani women: A critique of Pakistani ethnonationalism in the UK</w:t>
      </w:r>
    </w:p>
    <w:p w14:paraId="0CA14D95" w14:textId="77777777" w:rsidR="0048524B" w:rsidRDefault="0048524B" w:rsidP="00AC7DBF">
      <w:pPr>
        <w:rPr>
          <w:noProof/>
        </w:rPr>
      </w:pPr>
      <w:r>
        <w:rPr>
          <w:noProof/>
        </w:rPr>
        <w:t>Christian women are reported to be the largest minority in Pakistan, yet their narratives are almost non-existent within the Pakistani diaspora in the UK.</w:t>
      </w:r>
    </w:p>
    <w:p w14:paraId="232A10F1" w14:textId="77777777" w:rsidR="0048524B" w:rsidRDefault="0048524B" w:rsidP="00AC7DBF">
      <w:pPr>
        <w:rPr>
          <w:noProof/>
        </w:rPr>
      </w:pPr>
      <w:r>
        <w:rPr>
          <w:noProof/>
        </w:rPr>
        <w:t>Within academic literature, underlying reasons for this ‘missing identity’ are exemplified within Pakistani ethnonationalism, presenting a type of nationalism based on an over-representation of one-dimensional patriarchal narratives with Islamic religiosity, in Pakistani ethnic and diasporic belonging, thus homogenising intersecting gender and religions, and marginalising the experiences of Christian Pakistani women in the UK.</w:t>
      </w:r>
    </w:p>
    <w:p w14:paraId="1FD8AFCA" w14:textId="77777777" w:rsidR="0048524B" w:rsidRDefault="0048524B" w:rsidP="00AC7DBF">
      <w:pPr>
        <w:rPr>
          <w:noProof/>
        </w:rPr>
      </w:pPr>
      <w:r>
        <w:rPr>
          <w:noProof/>
        </w:rPr>
        <w:t>This study aims to identify the consequences of a religiously determined Pakistani ethnonational identity through the qualitative method of semi-structured interviews and stratified sampling. In-depth narratives of six Christian Pakistani women find that they are resisting the homogenisation and marginalisation of Pakistani ethnonationalism through practising Pakistani cultural aspects such as language in their everyday Christianity. This research finds Christian Pakistani women assert their ethnicity as well as their religiosity, question gender roles and resist a lack of individuality in their own community; thus, Christian Pakistani women are implementing their autonomy.</w:t>
      </w:r>
    </w:p>
    <w:p w14:paraId="56DCA1BD" w14:textId="77777777" w:rsidR="0048524B" w:rsidRDefault="0048524B">
      <w:r>
        <w:rPr>
          <w:noProof/>
        </w:rPr>
        <w:t xml:space="preserve"> In conclusion, this paper presents a perspective that is non-existent in the literature review by signifying the acknowledgement of autonomy within intersectional Pakistani identities in the UK. The study critiques Pakistani ethnonationalism as being one-dimensional in narrating Pakistani experiences and belonging, so illustrating Christian Pakistani women as a multi-dimensional Pakistani ethnic identity academically vocalises their narrative within Pakistani diaspora in the UK. This implies an underlying cause for further marginalisation and the lack of diasporic belonging, to be the one-dimensional concept of ethnonationalism.</w:t>
      </w:r>
    </w:p>
    <w:p w14:paraId="49B490AE" w14:textId="08E028FE" w:rsidR="0048524B" w:rsidRDefault="0048524B">
      <w:r w:rsidRPr="002E1C1E">
        <w:rPr>
          <w:b/>
          <w:noProof/>
        </w:rPr>
        <w:lastRenderedPageBreak/>
        <w:t>Virag</w:t>
      </w:r>
      <w:r w:rsidRPr="008357DE">
        <w:rPr>
          <w:b/>
        </w:rPr>
        <w:t xml:space="preserve"> </w:t>
      </w:r>
      <w:r w:rsidRPr="002E1C1E">
        <w:rPr>
          <w:b/>
          <w:noProof/>
        </w:rPr>
        <w:t>Belavari</w:t>
      </w:r>
      <w:r w:rsidRPr="008357DE">
        <w:rPr>
          <w:b/>
        </w:rPr>
        <w:t xml:space="preserve"> </w:t>
      </w:r>
      <w:r>
        <w:rPr>
          <w:b/>
        </w:rPr>
        <w:t xml:space="preserve"> </w:t>
      </w:r>
      <w:r w:rsidRPr="008357DE">
        <w:t>(</w:t>
      </w:r>
      <w:r>
        <w:rPr>
          <w:noProof/>
        </w:rPr>
        <w:t>University of Warwick</w:t>
      </w:r>
      <w:r w:rsidR="008E3685">
        <w:t>)</w:t>
      </w:r>
    </w:p>
    <w:p w14:paraId="2F1F521B" w14:textId="77777777" w:rsidR="0048524B" w:rsidRDefault="0048524B">
      <w:pPr>
        <w:rPr>
          <w:i/>
        </w:rPr>
      </w:pPr>
      <w:r w:rsidRPr="002E1C1E">
        <w:rPr>
          <w:i/>
          <w:noProof/>
        </w:rPr>
        <w:t>Understanding Revolution Narratives: The role of topophilia and topophobia</w:t>
      </w:r>
    </w:p>
    <w:p w14:paraId="5F9DA90D" w14:textId="77777777" w:rsidR="0048524B" w:rsidRDefault="0048524B" w:rsidP="00AC7DBF">
      <w:pPr>
        <w:rPr>
          <w:noProof/>
        </w:rPr>
      </w:pPr>
      <w:r>
        <w:rPr>
          <w:noProof/>
        </w:rPr>
        <w:t>Understanding the ‘stasis’ of cultural, social and economic relations requires a previous understanding of the ‘kinesis’ of the revolution that created the current conditions. However, a tendency to approach events and their context in a simplified, binary manner places a barrier on creating an accurate and applicable historical view on revolutionary moments. Postmodernity reveals that an absolute truth cannot be told about events and so we turn to narratives as sources of information, narratives that involve reflection in the very nature of culture.</w:t>
      </w:r>
    </w:p>
    <w:p w14:paraId="3E6B505C" w14:textId="77777777" w:rsidR="0048524B" w:rsidRDefault="0048524B" w:rsidP="00AC7DBF">
      <w:pPr>
        <w:rPr>
          <w:noProof/>
        </w:rPr>
      </w:pPr>
      <w:r>
        <w:rPr>
          <w:noProof/>
        </w:rPr>
        <w:t>This research aims to offer a way to free the historical comprehension of revolutions from its barriers by drawing attention to a less understood aspect, that of spatiality: the ways in which space acquires qualities through individual and shared conceptions being projected on it by people participating the revolution. This phenomenon is evaluated with reflection to Ahdaf Soueif’s Cairo: My City, Our Revolution (2012), a narrative of the Egyptian Revolution, which occurred in 2011, and investigated through linking findings/key observations of previous research and theory in a new, revealing way.</w:t>
      </w:r>
    </w:p>
    <w:p w14:paraId="35F69DD5" w14:textId="77777777" w:rsidR="0048524B" w:rsidRDefault="0048524B">
      <w:r>
        <w:rPr>
          <w:noProof/>
        </w:rPr>
        <w:t>The outcomes of the research show that revolutionary narratives are profoundly determined by the love of, or an aversion to, a place (topophilia/topophobia in Yi Fu Tuan’s terms). To make a use of this disclosure, a paradigm-shift in research practice is needed – from a simpler view on the role of space and place to a more reflective approach to revolutionary scenes such as Foucauldian ‘crisis heterotopias’ spaces of otherness, showcasing what norm is in contrast to crisis. This requires an understanding of the ‘poetics of space’, using Bachelard’s words.</w:t>
      </w:r>
    </w:p>
    <w:p w14:paraId="5111C800" w14:textId="77777777" w:rsidR="0048524B" w:rsidRDefault="0048524B"/>
    <w:p w14:paraId="323276C0" w14:textId="53E2CD1C" w:rsidR="0048524B" w:rsidRDefault="0048524B">
      <w:r w:rsidRPr="002E1C1E">
        <w:rPr>
          <w:b/>
          <w:noProof/>
        </w:rPr>
        <w:t>Yasmina</w:t>
      </w:r>
      <w:r w:rsidRPr="008357DE">
        <w:rPr>
          <w:b/>
        </w:rPr>
        <w:t xml:space="preserve"> </w:t>
      </w:r>
      <w:r w:rsidRPr="002E1C1E">
        <w:rPr>
          <w:b/>
          <w:noProof/>
        </w:rPr>
        <w:t>Maiga</w:t>
      </w:r>
      <w:r w:rsidRPr="008357DE">
        <w:rPr>
          <w:b/>
        </w:rPr>
        <w:t xml:space="preserve"> </w:t>
      </w:r>
      <w:r w:rsidRPr="002E1C1E">
        <w:rPr>
          <w:b/>
          <w:noProof/>
        </w:rPr>
        <w:t>and Greta Timaite</w:t>
      </w:r>
      <w:r>
        <w:rPr>
          <w:b/>
        </w:rPr>
        <w:t xml:space="preserve"> </w:t>
      </w:r>
      <w:r w:rsidRPr="008357DE">
        <w:t>(</w:t>
      </w:r>
      <w:r>
        <w:rPr>
          <w:noProof/>
        </w:rPr>
        <w:t>University of Warwick</w:t>
      </w:r>
      <w:r w:rsidR="008E3685">
        <w:t>)</w:t>
      </w:r>
    </w:p>
    <w:p w14:paraId="550279EB" w14:textId="77777777" w:rsidR="0048524B" w:rsidRDefault="0048524B">
      <w:pPr>
        <w:rPr>
          <w:i/>
        </w:rPr>
      </w:pPr>
      <w:r w:rsidRPr="002E1C1E">
        <w:rPr>
          <w:i/>
          <w:noProof/>
        </w:rPr>
        <w:t>Undoing Gender by Means of Skateboarding</w:t>
      </w:r>
    </w:p>
    <w:p w14:paraId="5B0C01DD" w14:textId="77777777" w:rsidR="0048524B" w:rsidRDefault="0048524B">
      <w:r>
        <w:rPr>
          <w:noProof/>
        </w:rPr>
        <w:t>Skateboarding is a subculture that emerged as a challenge to well-established perceptions of masculinity, and yet perpetuated patriarchal power relations in urban spaces. Consequently, women’s experiences within this community have often been marginalised, leaving their contribution to its development unrecognised. Our research analyses the dynamics of gender relations within this subculture, focusing on the case study of Brujas, a Marxist-feminist collective based in New York. Ever since 2014, this group has been questioning and deconstructing stereotypical understandings of gender through skateboarding, managing to create an outlet and space for all women. Backing up our research with visual methods – mainly photographs and videos – and discourse analysis of articles from the collective’s website, we argue that the uniqueness of Brujas resides in using skateboarding as a means of exploring gender discrimination and forwarding a feminist standpoint in street-skate culture. Indeed, this collective merges their own personal experiences with theoretical frameworks so as to endorse collective action to empower women and establish an all-inclusive local community. Our project demonstrates that locally based atypical forms of political action, when the personal is made political, have the potential to stimulate socio-political mobilisation, oppose oppressive power structures and achieve greater equality within a particular community.</w:t>
      </w:r>
    </w:p>
    <w:p w14:paraId="76B05EC9" w14:textId="77777777" w:rsidR="0048524B" w:rsidRDefault="0048524B"/>
    <w:p w14:paraId="1AAA065D" w14:textId="77777777" w:rsidR="008E3685" w:rsidRDefault="008E3685">
      <w:pPr>
        <w:rPr>
          <w:b/>
          <w:noProof/>
        </w:rPr>
      </w:pPr>
      <w:r>
        <w:rPr>
          <w:b/>
          <w:noProof/>
        </w:rPr>
        <w:br w:type="page"/>
      </w:r>
    </w:p>
    <w:p w14:paraId="59B4740F" w14:textId="7CABBB1C" w:rsidR="008E3685" w:rsidRDefault="008E3685" w:rsidP="008E3685">
      <w:pPr>
        <w:pStyle w:val="Heading1"/>
      </w:pPr>
      <w:r w:rsidRPr="008E3685">
        <w:lastRenderedPageBreak/>
        <w:t>Panel 7B: Ethics</w:t>
      </w:r>
    </w:p>
    <w:p w14:paraId="633628F1" w14:textId="77777777" w:rsidR="008E3685" w:rsidRPr="008E3685" w:rsidRDefault="008E3685" w:rsidP="008E3685"/>
    <w:p w14:paraId="67314D9D" w14:textId="7A606834" w:rsidR="0048524B" w:rsidRDefault="0048524B">
      <w:r w:rsidRPr="002E1C1E">
        <w:rPr>
          <w:b/>
          <w:noProof/>
        </w:rPr>
        <w:t>W.D.R. Himashi</w:t>
      </w:r>
      <w:r w:rsidRPr="008357DE">
        <w:rPr>
          <w:b/>
        </w:rPr>
        <w:t xml:space="preserve"> </w:t>
      </w:r>
      <w:r w:rsidRPr="002E1C1E">
        <w:rPr>
          <w:b/>
          <w:noProof/>
        </w:rPr>
        <w:t>Pemasiri</w:t>
      </w:r>
      <w:r w:rsidRPr="008357DE">
        <w:rPr>
          <w:b/>
        </w:rPr>
        <w:t xml:space="preserve"> </w:t>
      </w:r>
      <w:r w:rsidRPr="002E1C1E">
        <w:rPr>
          <w:b/>
          <w:noProof/>
        </w:rPr>
        <w:t>and Yuan Ming</w:t>
      </w:r>
      <w:r>
        <w:rPr>
          <w:b/>
        </w:rPr>
        <w:t xml:space="preserve"> </w:t>
      </w:r>
      <w:r w:rsidRPr="008357DE">
        <w:t>(</w:t>
      </w:r>
      <w:r>
        <w:rPr>
          <w:noProof/>
        </w:rPr>
        <w:t>Monash University Malaysia</w:t>
      </w:r>
      <w:r w:rsidR="008E3685">
        <w:t>)</w:t>
      </w:r>
    </w:p>
    <w:p w14:paraId="697B5EF8" w14:textId="77777777" w:rsidR="0048524B" w:rsidRDefault="0048524B">
      <w:pPr>
        <w:rPr>
          <w:i/>
        </w:rPr>
      </w:pPr>
      <w:r w:rsidRPr="002E1C1E">
        <w:rPr>
          <w:i/>
          <w:noProof/>
        </w:rPr>
        <w:t>Setting Ethics on a Scientific Platform: Creating a hierarchy for the elements of ethics</w:t>
      </w:r>
    </w:p>
    <w:p w14:paraId="3CF72F41" w14:textId="77777777" w:rsidR="0048524B" w:rsidRDefault="0048524B" w:rsidP="00AC7DBF">
      <w:pPr>
        <w:rPr>
          <w:noProof/>
        </w:rPr>
      </w:pPr>
      <w:r>
        <w:rPr>
          <w:noProof/>
        </w:rPr>
        <w:t>Ethics is the basis of humanity. It is the driving force governing our decisions, the structure of our day-to-day lives. This research attempts to classify principles of ethics into a logical order that can be applied to ethical dilemmas.</w:t>
      </w:r>
    </w:p>
    <w:p w14:paraId="71DC9E50" w14:textId="77777777" w:rsidR="0048524B" w:rsidRDefault="0048524B" w:rsidP="00AC7DBF">
      <w:pPr>
        <w:rPr>
          <w:noProof/>
        </w:rPr>
      </w:pPr>
      <w:r>
        <w:rPr>
          <w:noProof/>
        </w:rPr>
        <w:t>Methodology: 31 dilemmas were constructed based on literature, each featuring two ethical principles. These scenarios were offered to volunteers (college students and graduates) who ranked the two options (A. loyalty vs B. veracity) independently, based on how much they prioritised each option on a scale of 1 to 10. Thus far, 1447 responses have been collected. The 31 scenarios were randomly divided into two groups (Group I and Group II) and conflicting elements within each scenario were analysed for importance with an independent samples t-test using SPSS. Then we ranked the elements and compared the ranks of Group I and Group II.</w:t>
      </w:r>
    </w:p>
    <w:p w14:paraId="37B24AC4" w14:textId="77777777" w:rsidR="0048524B" w:rsidRDefault="0048524B" w:rsidP="00AC7DBF">
      <w:pPr>
        <w:rPr>
          <w:noProof/>
        </w:rPr>
      </w:pPr>
      <w:r>
        <w:rPr>
          <w:noProof/>
        </w:rPr>
        <w:t>Results: In Group I, preservation of an innocent’s life, public good, rationality and veracity ranked higher than elements with which they conflicted (p&lt;0.05). Non-maleficence, self-protection and loyalty always ranked low. In Group II, results were similar. Loyalty, autonomy, veracity and fidelity had different ranks within and between groups.</w:t>
      </w:r>
    </w:p>
    <w:p w14:paraId="4DEB03AA" w14:textId="77777777" w:rsidR="0048524B" w:rsidRDefault="0048524B">
      <w:r>
        <w:rPr>
          <w:noProof/>
        </w:rPr>
        <w:t>Implications: High-ranking elements, in both groups consistently, are preservation of innocent life and public good. Curiously, low-ranking elements include self-preservation and non-maleficence. Fidelity is a mid-level element. Thus, we can conclude that it is possible to rank the elements of ethics. However, several elements need to be sub-classified to establish a proper ranking. For example, autonomy of an innocent is paramount, but autonomy for criminals is low-ranking.</w:t>
      </w:r>
    </w:p>
    <w:p w14:paraId="4BF86F04" w14:textId="77777777" w:rsidR="0048524B" w:rsidRDefault="0048524B"/>
    <w:p w14:paraId="14C7D9A0" w14:textId="6068266A" w:rsidR="0048524B" w:rsidRDefault="0048524B">
      <w:r w:rsidRPr="002E1C1E">
        <w:rPr>
          <w:b/>
          <w:noProof/>
        </w:rPr>
        <w:t>Iona</w:t>
      </w:r>
      <w:r w:rsidRPr="008357DE">
        <w:rPr>
          <w:b/>
        </w:rPr>
        <w:t xml:space="preserve"> </w:t>
      </w:r>
      <w:r w:rsidRPr="002E1C1E">
        <w:rPr>
          <w:b/>
          <w:noProof/>
        </w:rPr>
        <w:t>Murphy</w:t>
      </w:r>
      <w:r w:rsidRPr="008357DE">
        <w:rPr>
          <w:b/>
        </w:rPr>
        <w:t xml:space="preserve"> </w:t>
      </w:r>
      <w:r>
        <w:rPr>
          <w:b/>
        </w:rPr>
        <w:t xml:space="preserve"> </w:t>
      </w:r>
      <w:r w:rsidRPr="008357DE">
        <w:t>(</w:t>
      </w:r>
      <w:r>
        <w:rPr>
          <w:noProof/>
        </w:rPr>
        <w:t>University of Warwick</w:t>
      </w:r>
      <w:r w:rsidR="008E3685">
        <w:t>)</w:t>
      </w:r>
    </w:p>
    <w:p w14:paraId="51F49B8D" w14:textId="77777777" w:rsidR="0048524B" w:rsidRDefault="0048524B">
      <w:pPr>
        <w:rPr>
          <w:i/>
        </w:rPr>
      </w:pPr>
      <w:r w:rsidRPr="002E1C1E">
        <w:rPr>
          <w:i/>
          <w:noProof/>
        </w:rPr>
        <w:t>Transference and Teaching: An exploration of sexual teacher–pupil relationships in literature</w:t>
      </w:r>
    </w:p>
    <w:p w14:paraId="3000548E" w14:textId="77777777" w:rsidR="0048524B" w:rsidRDefault="0048524B">
      <w:r>
        <w:rPr>
          <w:noProof/>
        </w:rPr>
        <w:t xml:space="preserve">This research uses a psychoanalytic lens to explore occurrences whereby pedagogical relationships become sexual. The focal point of critical theory is Freud’s notion of transference, which is a positing of emotions onto a substitute figure often related to infantile drives. The aim of this research is to show that transference in an educational setting is not as clear-cut as Freudian psychoanalysis suggests, as external sociological factors influence power in these relationships, particularly the law. The three literary texts explored Heller’s Notes on a Scandal, Coetzee’s Disgrace and Bennett’s The History Boys and compared the transference which occurs based on pedagogical approaches. The pedagogical relationships explored become sexual because of a transference of paternal feelings, which occurs due to the erotics of education – the notion that transference of knowledge is comparable to sex due to the simultaneous transference of emotional attachment. This research explores why these relationships occur and how responses to these relationships influence the conduct of both parties. Victorian literature portrays complex personal relationships between teachers and their pupils, with instances of boundaries being crossed between tutors in Henry James’ The Turn of the Screw. This research takes ideas which are implicit but prominent in the nineteenth to twentieth centuries and explores the complexities of explicit teacher–pupil relationships in the twenty-first century. There is a building upon Freud’s theory of transference </w:t>
      </w:r>
      <w:r>
        <w:rPr>
          <w:noProof/>
        </w:rPr>
        <w:lastRenderedPageBreak/>
        <w:t>through the engagement with modern scholars, but in terms of my field, I have brought the focus closer to the origins of psychoanalysis, which modern scholars have steered away from.</w:t>
      </w:r>
    </w:p>
    <w:p w14:paraId="17B88762" w14:textId="77777777" w:rsidR="0048524B" w:rsidRDefault="0048524B"/>
    <w:p w14:paraId="1D2E6C22" w14:textId="2B90841D" w:rsidR="0048524B" w:rsidRDefault="0048524B">
      <w:r w:rsidRPr="002E1C1E">
        <w:rPr>
          <w:b/>
          <w:noProof/>
        </w:rPr>
        <w:t>Adam</w:t>
      </w:r>
      <w:r w:rsidRPr="008357DE">
        <w:rPr>
          <w:b/>
        </w:rPr>
        <w:t xml:space="preserve"> </w:t>
      </w:r>
      <w:r w:rsidRPr="002E1C1E">
        <w:rPr>
          <w:b/>
          <w:noProof/>
        </w:rPr>
        <w:t>Place</w:t>
      </w:r>
      <w:r w:rsidRPr="008357DE">
        <w:rPr>
          <w:b/>
        </w:rPr>
        <w:t xml:space="preserve"> </w:t>
      </w:r>
      <w:r>
        <w:rPr>
          <w:b/>
        </w:rPr>
        <w:t xml:space="preserve"> </w:t>
      </w:r>
      <w:r w:rsidRPr="008357DE">
        <w:t>(</w:t>
      </w:r>
      <w:r>
        <w:rPr>
          <w:noProof/>
        </w:rPr>
        <w:t>University of Warwick</w:t>
      </w:r>
      <w:r w:rsidR="008E3685">
        <w:t>)</w:t>
      </w:r>
    </w:p>
    <w:p w14:paraId="18F70A4D" w14:textId="77777777" w:rsidR="0048524B" w:rsidRDefault="0048524B">
      <w:pPr>
        <w:rPr>
          <w:i/>
        </w:rPr>
      </w:pPr>
      <w:r w:rsidRPr="002E1C1E">
        <w:rPr>
          <w:i/>
          <w:noProof/>
        </w:rPr>
        <w:t>‘A Parting Between Friends?’ Indian independence in the British and Indian Press</w:t>
      </w:r>
    </w:p>
    <w:p w14:paraId="5852FD6B" w14:textId="77777777" w:rsidR="0048524B" w:rsidRDefault="0048524B" w:rsidP="00AC7DBF">
      <w:pPr>
        <w:rPr>
          <w:noProof/>
        </w:rPr>
      </w:pPr>
      <w:r>
        <w:rPr>
          <w:noProof/>
        </w:rPr>
        <w:t>Newspapers have, perhaps surprisingly, often been neglected by historians. Where they have been used – as, for example, in the work of Sukeshi Kamra – it is invariably the content of editorials and cartoons that are the focus, rather than articles, advertisements or format. This paper seeks to address this gap in historiography by examining Indian Independence through the lens of contemporary British and Indian newspapers. It also adopts the techniques advocated in the nascent field of book history to examine the structural and institutional features of the newspaper and, in doing so, demonstrates how the type of information conveyed was affected.</w:t>
      </w:r>
    </w:p>
    <w:p w14:paraId="02D0DCB9" w14:textId="77777777" w:rsidR="0048524B" w:rsidRDefault="0048524B">
      <w:r>
        <w:rPr>
          <w:noProof/>
        </w:rPr>
        <w:t>The paper is divided into three categories of analysis: how Anglo-Indian relations were defined in the news; how leading figures were represented and given legitimacy (or not); and how the violent consequences of Partition were explained in the press. In each of these categories, there are differences in portrayals, but there are nonetheless some over-arching conclusions that can be drawn. Firstly, this paper concludes that the coverage in the British press fundamentally reflected a post-war – and post-imperial – anxiety. In these newspapers, one can discern a desire to emphasise continuity rather than sudden change. Secondly, this paper concludes that representations in the Indian press ultimately reflected attempts to bestow legitimacy on particular leaders and, in particular, to define the characteristics of the new nations of India and Pakistan. Connecting all of these competing narratives, though, was an imperial communication network that is ripe for further study.</w:t>
      </w:r>
    </w:p>
    <w:p w14:paraId="21B0596F" w14:textId="77777777" w:rsidR="0048524B" w:rsidRDefault="0048524B"/>
    <w:p w14:paraId="0563C1F6" w14:textId="5CE642BF" w:rsidR="0048524B" w:rsidRDefault="0048524B">
      <w:r w:rsidRPr="002E1C1E">
        <w:rPr>
          <w:b/>
          <w:noProof/>
        </w:rPr>
        <w:t>Holly</w:t>
      </w:r>
      <w:r w:rsidRPr="008357DE">
        <w:rPr>
          <w:b/>
        </w:rPr>
        <w:t xml:space="preserve"> </w:t>
      </w:r>
      <w:r w:rsidRPr="002E1C1E">
        <w:rPr>
          <w:b/>
          <w:noProof/>
        </w:rPr>
        <w:t>Girven</w:t>
      </w:r>
      <w:r w:rsidRPr="008357DE">
        <w:rPr>
          <w:b/>
        </w:rPr>
        <w:t xml:space="preserve"> </w:t>
      </w:r>
      <w:r>
        <w:rPr>
          <w:b/>
        </w:rPr>
        <w:t xml:space="preserve"> </w:t>
      </w:r>
      <w:r w:rsidRPr="008357DE">
        <w:t>(</w:t>
      </w:r>
      <w:r>
        <w:rPr>
          <w:noProof/>
        </w:rPr>
        <w:t>University of Warwick</w:t>
      </w:r>
      <w:r w:rsidR="008E3685">
        <w:t>)</w:t>
      </w:r>
    </w:p>
    <w:p w14:paraId="5F149B2F" w14:textId="77777777" w:rsidR="0048524B" w:rsidRDefault="0048524B">
      <w:pPr>
        <w:rPr>
          <w:i/>
        </w:rPr>
      </w:pPr>
      <w:r w:rsidRPr="002E1C1E">
        <w:rPr>
          <w:i/>
          <w:noProof/>
        </w:rPr>
        <w:t>In Long-Term Clinical Trials Involving Children, Should Consent Have to be Actively Reassessed as They Grow Older?</w:t>
      </w:r>
    </w:p>
    <w:p w14:paraId="34924958" w14:textId="77777777" w:rsidR="0048524B" w:rsidRDefault="0048524B" w:rsidP="00AC7DBF">
      <w:pPr>
        <w:rPr>
          <w:noProof/>
        </w:rPr>
      </w:pPr>
      <w:r>
        <w:rPr>
          <w:noProof/>
        </w:rPr>
        <w:t>There are numerous clinical trials involving children, some that can go on for extended periods of time. Being involved in a clinical trial can carry some risks and so it is of importance that those involved fully consent. However, there is an issue as to how much those children involved consent to being part of these trials, especially when they grow older as medical teams may not reassess their understanding and their willingness to continue to participate.</w:t>
      </w:r>
    </w:p>
    <w:p w14:paraId="6B1484B1" w14:textId="77777777" w:rsidR="0048524B" w:rsidRDefault="0048524B" w:rsidP="00AC7DBF">
      <w:pPr>
        <w:rPr>
          <w:noProof/>
        </w:rPr>
      </w:pPr>
      <w:r>
        <w:rPr>
          <w:noProof/>
        </w:rPr>
        <w:t>This paper examines the issues surrounding consent in long-term clinical trials, with a focus on paediatric patients, to test whether the law satisfactorily protects the needs of the child as they mature or whether additional protections should be put in place.</w:t>
      </w:r>
    </w:p>
    <w:p w14:paraId="0D335E55" w14:textId="77777777" w:rsidR="0048524B" w:rsidRDefault="0048524B">
      <w:r>
        <w:rPr>
          <w:noProof/>
        </w:rPr>
        <w:t>Drawing upon research into current legal and medical practice guidelines, academic literature and case law as well as relevant statistics, this paper will examine the current regulatory framework and the views of those working in this area in order to support a consideration of possible reforms and how these can best be achieved.</w:t>
      </w:r>
    </w:p>
    <w:p w14:paraId="06B6A93E" w14:textId="77777777" w:rsidR="0048524B" w:rsidRDefault="0048524B"/>
    <w:p w14:paraId="52DBF8FC" w14:textId="77777777" w:rsidR="008E3685" w:rsidRDefault="008E3685">
      <w:pPr>
        <w:rPr>
          <w:b/>
          <w:noProof/>
        </w:rPr>
      </w:pPr>
      <w:r>
        <w:rPr>
          <w:b/>
          <w:noProof/>
        </w:rPr>
        <w:br w:type="page"/>
      </w:r>
    </w:p>
    <w:p w14:paraId="7F6BE82C" w14:textId="3FF23FE6" w:rsidR="008E3685" w:rsidRDefault="008E3685" w:rsidP="008E3685">
      <w:pPr>
        <w:pStyle w:val="Heading1"/>
      </w:pPr>
      <w:r>
        <w:lastRenderedPageBreak/>
        <w:t xml:space="preserve">Panel 7C: </w:t>
      </w:r>
      <w:r w:rsidRPr="008E3685">
        <w:t>Sustainability and Finance</w:t>
      </w:r>
    </w:p>
    <w:p w14:paraId="4B8A3392" w14:textId="77777777" w:rsidR="008E3685" w:rsidRPr="008E3685" w:rsidRDefault="008E3685" w:rsidP="008E3685"/>
    <w:p w14:paraId="28875224" w14:textId="015AB462" w:rsidR="0048524B" w:rsidRDefault="0048524B">
      <w:r w:rsidRPr="002E1C1E">
        <w:rPr>
          <w:b/>
          <w:noProof/>
        </w:rPr>
        <w:t>Leong Hau Xiang</w:t>
      </w:r>
      <w:r w:rsidRPr="008357DE">
        <w:rPr>
          <w:b/>
        </w:rPr>
        <w:t xml:space="preserve">  </w:t>
      </w:r>
      <w:r>
        <w:rPr>
          <w:b/>
        </w:rPr>
        <w:t xml:space="preserve"> </w:t>
      </w:r>
      <w:r w:rsidRPr="008357DE">
        <w:t>(</w:t>
      </w:r>
      <w:r>
        <w:rPr>
          <w:noProof/>
        </w:rPr>
        <w:t>NTU</w:t>
      </w:r>
      <w:r w:rsidR="008E3685">
        <w:t>)</w:t>
      </w:r>
    </w:p>
    <w:p w14:paraId="6A6705C5" w14:textId="77777777" w:rsidR="0048524B" w:rsidRDefault="0048524B">
      <w:pPr>
        <w:rPr>
          <w:i/>
        </w:rPr>
      </w:pPr>
      <w:r w:rsidRPr="002E1C1E">
        <w:rPr>
          <w:i/>
          <w:noProof/>
        </w:rPr>
        <w:t>Is Size Premium Dead in Singapore?</w:t>
      </w:r>
    </w:p>
    <w:p w14:paraId="0D55367A" w14:textId="77777777" w:rsidR="0048524B" w:rsidRDefault="0048524B">
      <w:r>
        <w:rPr>
          <w:noProof/>
        </w:rPr>
        <w:t>In business valuation, valuation experts have subjective opinions over the calculation of cost of capital in a valuation model. One of the most contentious issues relating to cost of capital is the size premium. It is proposed that smaller firms should have higher returns than larger firms in the long run. In practice, valuation experts calculate the size premium based on the market capitalisation from the CRSP Deciles Size Premia Studies. It is further incorporated in the equity premium under the CAPM model. This research paper focuses on the reputable methodologies proposed by CRSP Deciles Size Premia Studies on deriving size premium and replicates the process in the Singapore market. We propose a database for the calculation of size premium in Singapore and analyse criticisms offered by Damodaran and the alternative Risk Premium Report. Common criticisms include the seasonal effect of size premium and the non-linear relationship with firm size. We conduct additional tests to analyse whether such trends hold true in the Singapore market. Finally, we present ideas based on the current approach and application, including opportunities for future research.</w:t>
      </w:r>
    </w:p>
    <w:p w14:paraId="1917ACFB" w14:textId="77777777" w:rsidR="0048524B" w:rsidRDefault="0048524B"/>
    <w:p w14:paraId="3C53D7AD" w14:textId="55747719" w:rsidR="0048524B" w:rsidRDefault="0048524B">
      <w:r w:rsidRPr="002E1C1E">
        <w:rPr>
          <w:b/>
          <w:noProof/>
        </w:rPr>
        <w:t>Christopher</w:t>
      </w:r>
      <w:r w:rsidRPr="008357DE">
        <w:rPr>
          <w:b/>
        </w:rPr>
        <w:t xml:space="preserve"> </w:t>
      </w:r>
      <w:r w:rsidRPr="002E1C1E">
        <w:rPr>
          <w:b/>
          <w:noProof/>
        </w:rPr>
        <w:t>Nguyen</w:t>
      </w:r>
      <w:r w:rsidRPr="008357DE">
        <w:rPr>
          <w:b/>
        </w:rPr>
        <w:t xml:space="preserve"> </w:t>
      </w:r>
      <w:r>
        <w:rPr>
          <w:b/>
        </w:rPr>
        <w:t xml:space="preserve"> </w:t>
      </w:r>
      <w:r w:rsidRPr="008357DE">
        <w:t>(</w:t>
      </w:r>
      <w:r>
        <w:rPr>
          <w:noProof/>
        </w:rPr>
        <w:t>University of Warwick</w:t>
      </w:r>
      <w:r w:rsidR="008E3685">
        <w:t>)</w:t>
      </w:r>
    </w:p>
    <w:p w14:paraId="7785CE0D" w14:textId="77777777" w:rsidR="0048524B" w:rsidRDefault="0048524B">
      <w:pPr>
        <w:rPr>
          <w:i/>
        </w:rPr>
      </w:pPr>
      <w:r w:rsidRPr="002E1C1E">
        <w:rPr>
          <w:i/>
          <w:noProof/>
        </w:rPr>
        <w:t>The Mathematics of Bitcoin</w:t>
      </w:r>
    </w:p>
    <w:p w14:paraId="633ED07E" w14:textId="77777777" w:rsidR="0048524B" w:rsidRDefault="0048524B" w:rsidP="00AC7DBF">
      <w:pPr>
        <w:rPr>
          <w:noProof/>
        </w:rPr>
      </w:pPr>
      <w:r>
        <w:rPr>
          <w:noProof/>
        </w:rPr>
        <w:t>Bitcoin is the world’s first purely peer-to-peer decentralised cryptocurrency. Decentralisation allows users to digitally transfer value without relying on a third party, but this already introduces various issues. How can we ensure that transactions are legitimate? How is stored currency kept secure? How do we know that users cannot simply duplicate their Bitcoins? Typically a bank would deal with the first two issues, and a mint with the last, but these services introduce unnecessary fees and processing times. Furthermore, using financial institutions means that payments between people must first be approved – giving way to expensive international transaction fees. Clearly, we need another way of resolving these issues, otherwise Bitcoin is no better than regular fiat currency.</w:t>
      </w:r>
    </w:p>
    <w:p w14:paraId="7BD150B4" w14:textId="77777777" w:rsidR="0048524B" w:rsidRDefault="0048524B">
      <w:r>
        <w:rPr>
          <w:noProof/>
        </w:rPr>
        <w:t>In this talk, we will discuss solutions to the above problems, with a focus on the security of owned currency (i.e. ensuring that only the rightful owner may spend their Bitcoin). This requires the use of elliptic curve cryptography – similar to regular cryptography, but with significantly more complexity and security. We will build the theory for this from the ground up by introducing fundamental mathematical concepts, such as algebraic groups, rings and fields, before moving on to the basic elliptic curve theory. We will then be able to look at Bitcoin’s security mechanism: the Elliptic Curve Digital Signature Algorithm, which we will mathematically analyse the security of. Elliptic curve cryptography is also useful outside of Bitcoin and so we will make more general comparisons with classical cryptosystems such as RSA and DSA.</w:t>
      </w:r>
    </w:p>
    <w:p w14:paraId="28120EEA" w14:textId="77777777" w:rsidR="0048524B" w:rsidRDefault="0048524B"/>
    <w:p w14:paraId="63B51BFA" w14:textId="77777777" w:rsidR="008E3685" w:rsidRDefault="008E3685">
      <w:pPr>
        <w:rPr>
          <w:b/>
          <w:noProof/>
        </w:rPr>
      </w:pPr>
      <w:r>
        <w:rPr>
          <w:b/>
          <w:noProof/>
        </w:rPr>
        <w:br w:type="page"/>
      </w:r>
    </w:p>
    <w:p w14:paraId="57D2F4DB" w14:textId="777F24D6" w:rsidR="0048524B" w:rsidRDefault="0048524B">
      <w:r w:rsidRPr="002E1C1E">
        <w:rPr>
          <w:b/>
          <w:noProof/>
        </w:rPr>
        <w:lastRenderedPageBreak/>
        <w:t>Imogen</w:t>
      </w:r>
      <w:r w:rsidRPr="008357DE">
        <w:rPr>
          <w:b/>
        </w:rPr>
        <w:t xml:space="preserve"> </w:t>
      </w:r>
      <w:r w:rsidRPr="002E1C1E">
        <w:rPr>
          <w:b/>
          <w:noProof/>
        </w:rPr>
        <w:t>Fitt</w:t>
      </w:r>
      <w:r w:rsidRPr="008357DE">
        <w:rPr>
          <w:b/>
        </w:rPr>
        <w:t xml:space="preserve"> </w:t>
      </w:r>
      <w:r>
        <w:rPr>
          <w:b/>
        </w:rPr>
        <w:t xml:space="preserve"> </w:t>
      </w:r>
      <w:r w:rsidRPr="008357DE">
        <w:t>(</w:t>
      </w:r>
      <w:r>
        <w:rPr>
          <w:noProof/>
        </w:rPr>
        <w:t>University of Warwick</w:t>
      </w:r>
      <w:r w:rsidR="008E3685">
        <w:t>)</w:t>
      </w:r>
    </w:p>
    <w:p w14:paraId="53086B32" w14:textId="77777777" w:rsidR="0048524B" w:rsidRDefault="0048524B">
      <w:pPr>
        <w:rPr>
          <w:i/>
        </w:rPr>
      </w:pPr>
      <w:r w:rsidRPr="002E1C1E">
        <w:rPr>
          <w:i/>
          <w:noProof/>
        </w:rPr>
        <w:t>Farmers: Time to Grow Up! A study on the contribution of Vertical Farming towards achieving global food security</w:t>
      </w:r>
    </w:p>
    <w:p w14:paraId="05053DC0" w14:textId="77777777" w:rsidR="0048524B" w:rsidRDefault="0048524B">
      <w:r>
        <w:rPr>
          <w:noProof/>
        </w:rPr>
        <w:t>With growing populations and decreasing land availability, farmers face mounting challenges to meet food supplies by 2050 – which is the year the UN aims to eliminate world hunger by. An innovative solution to these issues currently attracting attention and support is vertical farming. In these systems, food is grown in multi-layered artificial structures in urban environments under controlled environment conditions. Vertical farming has been criticised because of its dependence on artificial light for production and the consequential high-energy demands and financial costs involved. The feasibility of such production systems has recently been enhanced by developments in lighting systems through the use of energy efficient LED systems, and multiple vertical farms are beginning to pop up around the globe. My research thus aims to address qualitatively whether vertical farming will currently be able to contribute to the UN’s aim through critically examining each of the key obstacles to food security in the context of vertical farming. This will be done through an extended literature review on the subject, including everything from professional reports and markets analyses to ‘agritechture blogs’. My research will culminate in the design of my own vertical farm for use in Cape Town, by explaining how it will operate sustainably within an urban system using diagrams and real-life examples. This work examines vertical farming from a fresh perspective, offering a novel analysis of an already established problem with vertical farming as the solution.</w:t>
      </w:r>
    </w:p>
    <w:p w14:paraId="351EA766" w14:textId="77777777" w:rsidR="0048524B" w:rsidRDefault="0048524B"/>
    <w:p w14:paraId="1B11BE2B" w14:textId="77777777" w:rsidR="008E3685" w:rsidRDefault="008E3685">
      <w:pPr>
        <w:rPr>
          <w:b/>
          <w:noProof/>
        </w:rPr>
      </w:pPr>
      <w:r>
        <w:rPr>
          <w:b/>
          <w:noProof/>
        </w:rPr>
        <w:br w:type="page"/>
      </w:r>
    </w:p>
    <w:p w14:paraId="65C56398" w14:textId="0528A88C" w:rsidR="008E3685" w:rsidRDefault="008E3685" w:rsidP="008E3685">
      <w:pPr>
        <w:pStyle w:val="Heading1"/>
      </w:pPr>
      <w:r>
        <w:lastRenderedPageBreak/>
        <w:t xml:space="preserve">Panel 7D: </w:t>
      </w:r>
      <w:r w:rsidRPr="008E3685">
        <w:t>Medical Research and Novel Technologies</w:t>
      </w:r>
    </w:p>
    <w:p w14:paraId="03D6C6C0" w14:textId="77777777" w:rsidR="008E3685" w:rsidRPr="008E3685" w:rsidRDefault="008E3685" w:rsidP="008E3685"/>
    <w:p w14:paraId="7408B3D1" w14:textId="7434545F" w:rsidR="0048524B" w:rsidRDefault="0048524B">
      <w:r w:rsidRPr="002E1C1E">
        <w:rPr>
          <w:b/>
          <w:noProof/>
        </w:rPr>
        <w:t>Hao Anran</w:t>
      </w:r>
      <w:r w:rsidRPr="008357DE">
        <w:rPr>
          <w:b/>
        </w:rPr>
        <w:t xml:space="preserve">  </w:t>
      </w:r>
      <w:r>
        <w:rPr>
          <w:b/>
        </w:rPr>
        <w:t xml:space="preserve"> </w:t>
      </w:r>
      <w:r w:rsidRPr="008357DE">
        <w:t>(</w:t>
      </w:r>
      <w:r>
        <w:rPr>
          <w:noProof/>
        </w:rPr>
        <w:t>NTU</w:t>
      </w:r>
      <w:r w:rsidR="008E3685">
        <w:t>)</w:t>
      </w:r>
    </w:p>
    <w:p w14:paraId="0CE748DF" w14:textId="77777777" w:rsidR="0048524B" w:rsidRDefault="0048524B">
      <w:pPr>
        <w:rPr>
          <w:i/>
        </w:rPr>
      </w:pPr>
      <w:r w:rsidRPr="002E1C1E">
        <w:rPr>
          <w:i/>
          <w:noProof/>
        </w:rPr>
        <w:t>Development of a Mobile Application that Promotes Crowdsourcing for AED Information</w:t>
      </w:r>
    </w:p>
    <w:p w14:paraId="1FE354E0" w14:textId="77777777" w:rsidR="0048524B" w:rsidRDefault="0048524B">
      <w:r>
        <w:rPr>
          <w:noProof/>
        </w:rPr>
        <w:t>An Automated External Defibrillator (AED) is a life-saving device used for immediate intervention to sudden cardiac arrest, a fatal condition of heart failure. Effective utilisation of publicly accessible AEDs requires a comprehensive, up-to-date database storing information such as location and service status. Crowdsourcing, which uses an open call to outsource a task to an undefined mass of people (the ‘crowd’) rather than employing a designated agent, has been used in previous works to help create and maintain such a database. However, the existing AED crowdsourcing applications lack motivating mechanisms and will thus fail to maximise the potential benefits. We present AEDLocator, a user-friendly mobile application of gamification design, crowdsourcing public AED information in Singapore. Based on existing gamification frameworks and empirical findings related to participation motivation in gamified systems, we designed the system with game elements addressing three aspects: reward, customisation and social relatedness. We have also developed a non-gamified version of AEDLocator and conducted a comparative user evaluation between the two to show the effects of the gamification design. The results of the study are discussed in this paper.</w:t>
      </w:r>
    </w:p>
    <w:p w14:paraId="6F3BE240" w14:textId="77777777" w:rsidR="0048524B" w:rsidRDefault="0048524B"/>
    <w:p w14:paraId="67639906" w14:textId="0900CA63" w:rsidR="0048524B" w:rsidRDefault="0048524B">
      <w:r w:rsidRPr="002E1C1E">
        <w:rPr>
          <w:b/>
          <w:noProof/>
        </w:rPr>
        <w:t>Cameron</w:t>
      </w:r>
      <w:r w:rsidRPr="008357DE">
        <w:rPr>
          <w:b/>
        </w:rPr>
        <w:t xml:space="preserve"> </w:t>
      </w:r>
      <w:r w:rsidRPr="002E1C1E">
        <w:rPr>
          <w:b/>
          <w:noProof/>
        </w:rPr>
        <w:t>Calcluth</w:t>
      </w:r>
      <w:r w:rsidRPr="008357DE">
        <w:rPr>
          <w:b/>
        </w:rPr>
        <w:t xml:space="preserve"> </w:t>
      </w:r>
      <w:r>
        <w:rPr>
          <w:b/>
        </w:rPr>
        <w:t xml:space="preserve"> </w:t>
      </w:r>
      <w:r w:rsidRPr="008357DE">
        <w:t>(</w:t>
      </w:r>
      <w:r>
        <w:rPr>
          <w:noProof/>
        </w:rPr>
        <w:t>University of Leeds</w:t>
      </w:r>
      <w:r w:rsidR="008E3685">
        <w:t>)</w:t>
      </w:r>
    </w:p>
    <w:p w14:paraId="72F26B0B" w14:textId="77777777" w:rsidR="0048524B" w:rsidRDefault="0048524B">
      <w:pPr>
        <w:rPr>
          <w:i/>
        </w:rPr>
      </w:pPr>
      <w:r w:rsidRPr="002E1C1E">
        <w:rPr>
          <w:i/>
          <w:noProof/>
        </w:rPr>
        <w:t>Using Quantum Molecular Dynamics as a Tool to Understand Biological Processes</w:t>
      </w:r>
    </w:p>
    <w:p w14:paraId="59018C77" w14:textId="77777777" w:rsidR="0048524B" w:rsidRDefault="0048524B" w:rsidP="00AC7DBF">
      <w:pPr>
        <w:rPr>
          <w:noProof/>
        </w:rPr>
      </w:pPr>
      <w:r>
        <w:rPr>
          <w:noProof/>
        </w:rPr>
        <w:t>We already know that the structure of biomolecules is largely responsible for how they work. However, studying the motion of individual atoms and how those motions influence the function of the molecules is an emerging science. Recent techniques allow us to look directly at these fundamental motions that dictate their function. In particular, two-dimensional infrared spectroscopy is a tool to look at vibrations of complex molecules in real time.</w:t>
      </w:r>
    </w:p>
    <w:p w14:paraId="2B769AA8" w14:textId="77777777" w:rsidR="0048524B" w:rsidRDefault="0048524B" w:rsidP="00AC7DBF">
      <w:pPr>
        <w:rPr>
          <w:noProof/>
        </w:rPr>
      </w:pPr>
      <w:r>
        <w:rPr>
          <w:noProof/>
        </w:rPr>
        <w:t>When the right wavelength of infrared light is fired at a chemical bond, the bond will vibrate; however, it stops vibrating within one picosecond. Although the fundamental equations are known, the problem of dealing with quantum mechanics in a complex system is far from solved due to the non-deterministic nature of measurement. A paper on Quantum Molecular Dynamics was published last year (2016) by Hasegawa at the University of Kyoto. A computer program will be produced that will use these methods, Lagrange multipliers and statistical physics, to simulate these bonds to find out what is happening. I will then be able to answer the question of whether these simulations correspond with reality.</w:t>
      </w:r>
    </w:p>
    <w:p w14:paraId="0017E851" w14:textId="77777777" w:rsidR="0048524B" w:rsidRDefault="0048524B">
      <w:r>
        <w:rPr>
          <w:noProof/>
        </w:rPr>
        <w:t>This research will focus on the bonds of proteins. Although we can understand how the majority of these proteins work, we do not understand the quantum mechanics behind the processes. This research could unlock a new perspective of how these biomolecules work, which could lead to breakthroughs in chemistry, biology and medicine. It could also be used as a new method to identify and understand how these proteins interact with their surroundings, leading to further knowledge about how they work as a whole.</w:t>
      </w:r>
    </w:p>
    <w:p w14:paraId="30381144" w14:textId="77777777" w:rsidR="0048524B" w:rsidRDefault="0048524B"/>
    <w:p w14:paraId="7BA5825C" w14:textId="77777777" w:rsidR="00FC5753" w:rsidRDefault="00FC5753">
      <w:pPr>
        <w:rPr>
          <w:b/>
          <w:noProof/>
        </w:rPr>
      </w:pPr>
    </w:p>
    <w:p w14:paraId="71FB2D20" w14:textId="4CFC0701" w:rsidR="0048524B" w:rsidRDefault="0048524B">
      <w:r w:rsidRPr="002E1C1E">
        <w:rPr>
          <w:b/>
          <w:noProof/>
        </w:rPr>
        <w:lastRenderedPageBreak/>
        <w:t>Rachel</w:t>
      </w:r>
      <w:r w:rsidRPr="008357DE">
        <w:rPr>
          <w:b/>
        </w:rPr>
        <w:t xml:space="preserve"> </w:t>
      </w:r>
      <w:r w:rsidRPr="002E1C1E">
        <w:rPr>
          <w:b/>
          <w:noProof/>
        </w:rPr>
        <w:t>Coneys</w:t>
      </w:r>
      <w:r w:rsidRPr="008357DE">
        <w:rPr>
          <w:b/>
        </w:rPr>
        <w:t xml:space="preserve"> </w:t>
      </w:r>
      <w:r>
        <w:rPr>
          <w:b/>
        </w:rPr>
        <w:t xml:space="preserve"> </w:t>
      </w:r>
      <w:r w:rsidRPr="008357DE">
        <w:t>(</w:t>
      </w:r>
      <w:r>
        <w:rPr>
          <w:noProof/>
        </w:rPr>
        <w:t>University of Leeds</w:t>
      </w:r>
      <w:r w:rsidR="008E3685">
        <w:t>)</w:t>
      </w:r>
    </w:p>
    <w:p w14:paraId="4BFF20C8" w14:textId="77777777" w:rsidR="0048524B" w:rsidRDefault="0048524B">
      <w:pPr>
        <w:rPr>
          <w:i/>
        </w:rPr>
      </w:pPr>
      <w:r w:rsidRPr="002E1C1E">
        <w:rPr>
          <w:i/>
          <w:noProof/>
        </w:rPr>
        <w:t>Modulation of Microglia Activation in Alzheimer’s disease</w:t>
      </w:r>
    </w:p>
    <w:p w14:paraId="159971C0" w14:textId="77777777" w:rsidR="0048524B" w:rsidRDefault="0048524B">
      <w:r>
        <w:rPr>
          <w:noProof/>
        </w:rPr>
        <w:t>Neuroinflammation as a result of excessive microglia activation is implicated in various neurodegenerative diseases. Elevated levels of histone deacetylases (HDAC) are associated with cognitive deficits and inflammation in Alzheimer’s disease. Inhibitors of HDAC (HDACi) prevent microglia activation in vitro and in vivo. The mechanisms underlying this attenuation are unclear, although recent data implicates HDAC2 as an important HDAC and a non-histone protein(s) as the target. Identifying how HDAC2 modulates this pathway is key to effective therapies. The present study investigated whether HDAC2 acts within the nucleus to exert inflammatory effects. BV-2 murine microglia were activated with lipopolysaccharide (LPS) and levels of cytokine expression were determined by RT-PCR. Transfection of recombinant HDAC2 in LPS-stimulated BV-2 cells enhanced Interleukin 6 (IL-6) and inducible nitric oxide synthase (iNOS) expression. Removal of HDAC2’s nuclear localisation signal (NLS), restricting HDAC2 to the cytoplasm, did not reduce this ability of HDAC2 to enhance microglia activation; IL-6 and iNOS levels increased to 208 ±54 per cent, n=6 and 149 ±49 per cent, n=5 respectively. Treatment with HDACi Suberoylanilide hydroxamic acid (SAHA) attenuated the HDAC2 (wild-type or mutant) mediated increase in cytokine expression. Our data suggests HDAC2 activity in the nucleus or cytoplasm is equally effective in mediating microglia activation. Thus a protein that shuttles between the nucleus and cytoplasm is a likely target of HDAC2 within this inflammatory cascade. Identifying the protein(s) would allow for the development of more selective therapies with reduced side effects for the treatment of neuroinflammation in neurodegenerative diseases.</w:t>
      </w:r>
    </w:p>
    <w:p w14:paraId="3AAD851A" w14:textId="77777777" w:rsidR="0048524B" w:rsidRDefault="0048524B"/>
    <w:p w14:paraId="2DD812AF" w14:textId="23FEE875" w:rsidR="0048524B" w:rsidRDefault="0048524B">
      <w:r w:rsidRPr="002E1C1E">
        <w:rPr>
          <w:b/>
          <w:noProof/>
        </w:rPr>
        <w:t>Sophia</w:t>
      </w:r>
      <w:r w:rsidRPr="008357DE">
        <w:rPr>
          <w:b/>
        </w:rPr>
        <w:t xml:space="preserve"> </w:t>
      </w:r>
      <w:r w:rsidRPr="002E1C1E">
        <w:rPr>
          <w:b/>
          <w:noProof/>
        </w:rPr>
        <w:t>Winter</w:t>
      </w:r>
      <w:r w:rsidRPr="008357DE">
        <w:rPr>
          <w:b/>
        </w:rPr>
        <w:t xml:space="preserve"> </w:t>
      </w:r>
      <w:r>
        <w:rPr>
          <w:b/>
        </w:rPr>
        <w:t xml:space="preserve"> </w:t>
      </w:r>
      <w:r w:rsidRPr="008357DE">
        <w:t>(</w:t>
      </w:r>
      <w:r>
        <w:rPr>
          <w:noProof/>
        </w:rPr>
        <w:t>University of Leeds</w:t>
      </w:r>
      <w:r w:rsidR="008E3685">
        <w:t>)</w:t>
      </w:r>
    </w:p>
    <w:p w14:paraId="55518E0D" w14:textId="77777777" w:rsidR="0048524B" w:rsidRDefault="0048524B">
      <w:pPr>
        <w:rPr>
          <w:i/>
        </w:rPr>
      </w:pPr>
      <w:r w:rsidRPr="002E1C1E">
        <w:rPr>
          <w:i/>
          <w:noProof/>
        </w:rPr>
        <w:t>Novel Morphological Analyses for Elucidation of Nanoparticle-Biomembrane Interactions</w:t>
      </w:r>
    </w:p>
    <w:p w14:paraId="34C377B1" w14:textId="77777777" w:rsidR="0048524B" w:rsidRDefault="0048524B" w:rsidP="00AC7DBF">
      <w:pPr>
        <w:rPr>
          <w:noProof/>
        </w:rPr>
      </w:pPr>
      <w:r>
        <w:rPr>
          <w:noProof/>
        </w:rPr>
        <w:t>Fundamental toxicological investigations of nanomaterials can be approached with an idiosyncratic and highly innovative methodology; by integrating HISENTS’ unique RCV technology, in conjunction with biophysical assessment of lipid behaviour, we begin to build a comprehensive understanding of how nanoparticles affect such key lipid properties as fluidity and self-repair, which are intrinsic to standard biological function.</w:t>
      </w:r>
    </w:p>
    <w:p w14:paraId="49D39B84" w14:textId="77777777" w:rsidR="0048524B" w:rsidRDefault="0048524B" w:rsidP="00AC7DBF">
      <w:pPr>
        <w:rPr>
          <w:noProof/>
        </w:rPr>
      </w:pPr>
      <w:r>
        <w:rPr>
          <w:noProof/>
        </w:rPr>
        <w:t>Lipid vesicles were formed encapsulating the dye 5(6)-carboxyfluorescein and incubated with gold nanospheres over a range of concentrations and diameters before leakage of dyes was monitored fluorimetrically (a technique whereby a spectrum of emitted electromagnetic radiation is collected from a sample when irradiated with light of a specific wavelength), and repeated for Laurdan-integrated non-encapsulated vesicles.</w:t>
      </w:r>
    </w:p>
    <w:p w14:paraId="5601E51A" w14:textId="77777777" w:rsidR="0048524B" w:rsidRDefault="0048524B" w:rsidP="00AC7DBF">
      <w:pPr>
        <w:rPr>
          <w:noProof/>
        </w:rPr>
      </w:pPr>
      <w:r>
        <w:rPr>
          <w:noProof/>
        </w:rPr>
        <w:t>These occurred in parallel with HISENTS’ RCV measurements to compare nanospheres and nanorods. Imaging occurred using TEM alongside DLS vesicle studies. We have found that increased nanoparticle concentration induces a greater disruption of lipid ordering and its self-repairing capacity and that the time durations for both of these increased as well.</w:t>
      </w:r>
    </w:p>
    <w:p w14:paraId="21BF0198" w14:textId="77777777" w:rsidR="0048524B" w:rsidRDefault="0048524B" w:rsidP="00AC7DBF">
      <w:pPr>
        <w:rPr>
          <w:noProof/>
        </w:rPr>
      </w:pPr>
      <w:r>
        <w:rPr>
          <w:noProof/>
        </w:rPr>
        <w:t>We will also be using a confocal microscope to analyse the surface interaction of gold vesicles with larger vesicles formed by an electric current and anticipate visual evidence for disruption of the lipid membrane.</w:t>
      </w:r>
    </w:p>
    <w:p w14:paraId="37ACF451" w14:textId="77777777" w:rsidR="0048524B" w:rsidRDefault="0048524B">
      <w:r>
        <w:rPr>
          <w:noProof/>
        </w:rPr>
        <w:lastRenderedPageBreak/>
        <w:t>These strategies begin to address the questions of how nanoparticles interact with biological membranes, a crucial component of the unit cell of living organisms, to evaluate the efficacy of nanoparticle healthcare treatments as well as current safety hazard assessments to prevent long-term significant environmental impact and public exposure to potentially hazardous commercial compounds.</w:t>
      </w:r>
    </w:p>
    <w:p w14:paraId="0125A7F0" w14:textId="77777777" w:rsidR="0048524B" w:rsidRDefault="0048524B"/>
    <w:p w14:paraId="2DEB6D9B" w14:textId="77777777" w:rsidR="00FC5753" w:rsidRDefault="00FC5753">
      <w:pPr>
        <w:rPr>
          <w:b/>
          <w:noProof/>
        </w:rPr>
      </w:pPr>
      <w:r>
        <w:rPr>
          <w:b/>
          <w:noProof/>
        </w:rPr>
        <w:br w:type="page"/>
      </w:r>
    </w:p>
    <w:p w14:paraId="7FD99A9B" w14:textId="6FBE1C37" w:rsidR="00FC5753" w:rsidRDefault="00FC5753" w:rsidP="00FC5753">
      <w:pPr>
        <w:pStyle w:val="Heading1"/>
      </w:pPr>
      <w:r>
        <w:lastRenderedPageBreak/>
        <w:t xml:space="preserve">Panel 7E: </w:t>
      </w:r>
      <w:r w:rsidRPr="00FC5753">
        <w:t>International Affairs</w:t>
      </w:r>
    </w:p>
    <w:p w14:paraId="6B4D6130" w14:textId="77777777" w:rsidR="00FC5753" w:rsidRPr="00FC5753" w:rsidRDefault="00FC5753" w:rsidP="00FC5753"/>
    <w:p w14:paraId="1CA853DE" w14:textId="3141E952" w:rsidR="0048524B" w:rsidRDefault="0048524B">
      <w:r w:rsidRPr="002E1C1E">
        <w:rPr>
          <w:b/>
          <w:noProof/>
        </w:rPr>
        <w:t>Marianne</w:t>
      </w:r>
      <w:r w:rsidRPr="008357DE">
        <w:rPr>
          <w:b/>
        </w:rPr>
        <w:t xml:space="preserve"> </w:t>
      </w:r>
      <w:r w:rsidRPr="002E1C1E">
        <w:rPr>
          <w:b/>
          <w:noProof/>
        </w:rPr>
        <w:t>Chua Mingwei</w:t>
      </w:r>
      <w:r w:rsidRPr="008357DE">
        <w:rPr>
          <w:b/>
        </w:rPr>
        <w:t xml:space="preserve"> </w:t>
      </w:r>
      <w:r>
        <w:rPr>
          <w:b/>
        </w:rPr>
        <w:t xml:space="preserve"> </w:t>
      </w:r>
      <w:r w:rsidRPr="008357DE">
        <w:t>(</w:t>
      </w:r>
      <w:r>
        <w:rPr>
          <w:noProof/>
        </w:rPr>
        <w:t>NTU</w:t>
      </w:r>
      <w:r w:rsidR="00FC5753">
        <w:t>)</w:t>
      </w:r>
    </w:p>
    <w:p w14:paraId="00A62F8A" w14:textId="77777777" w:rsidR="0048524B" w:rsidRDefault="0048524B">
      <w:pPr>
        <w:rPr>
          <w:i/>
        </w:rPr>
      </w:pPr>
      <w:r w:rsidRPr="002E1C1E">
        <w:rPr>
          <w:i/>
          <w:noProof/>
        </w:rPr>
        <w:t>The Journey Within: Heroic travel bloggers</w:t>
      </w:r>
    </w:p>
    <w:p w14:paraId="027A6F7B" w14:textId="77777777" w:rsidR="0048524B" w:rsidRDefault="0048524B">
      <w:r>
        <w:rPr>
          <w:noProof/>
        </w:rPr>
        <w:t>Travel bloggers make the unknown known and, as every storyteller does, they assume certain identities. Blogging about their (mis)adventures, one identity assumed is that of the hero, the brave one who meets and overcomes dangers and lives to tell the tale. The perceived credibility of the travel blogger builds their social capital as more readers follow them, which in turn allows them to fund their next travel professionally. This project examined the types of risks travel bloggers experience and how the image of a hero is constructed for the reader. Using a cultural studies approach, the project focused on the representation of the writer and their destination as a place to conquer and boast of. Two main research questions were critically pinpointed in the project. The first was an examination of how travel bloggers narrate the challenges they face as external (e.g. bad weather, poor living conditions and other unfortunate events) or internal (e.g. lack of self-confidence, fear of heights or others). The classification of external and internal loci for risk/danger drew relationships to how travel bloggers represent themselves in answer to the second research question: which of the three identities is assumed to make themselves and their adventures heroic – the Gift Giver, Transformed Traveller or Easy Rider? Following the results of the inextricable links between the two research questions, the project hopes for future studies on how the heroic image of travel bloggers enables a conversion of social to economic capital, leading to a sustainable professional income.</w:t>
      </w:r>
    </w:p>
    <w:p w14:paraId="2E136F35" w14:textId="77777777" w:rsidR="0048524B" w:rsidRDefault="0048524B"/>
    <w:p w14:paraId="3A9DFD59" w14:textId="3013DBD8" w:rsidR="0048524B" w:rsidRDefault="0048524B">
      <w:r w:rsidRPr="002E1C1E">
        <w:rPr>
          <w:b/>
          <w:noProof/>
        </w:rPr>
        <w:t>Jack</w:t>
      </w:r>
      <w:r w:rsidRPr="008357DE">
        <w:rPr>
          <w:b/>
        </w:rPr>
        <w:t xml:space="preserve"> </w:t>
      </w:r>
      <w:r w:rsidRPr="002E1C1E">
        <w:rPr>
          <w:b/>
          <w:noProof/>
        </w:rPr>
        <w:t>Casey</w:t>
      </w:r>
      <w:r w:rsidRPr="008357DE">
        <w:rPr>
          <w:b/>
        </w:rPr>
        <w:t xml:space="preserve"> </w:t>
      </w:r>
      <w:r>
        <w:rPr>
          <w:b/>
        </w:rPr>
        <w:t xml:space="preserve"> </w:t>
      </w:r>
      <w:r w:rsidRPr="008357DE">
        <w:t>(</w:t>
      </w:r>
      <w:r>
        <w:rPr>
          <w:noProof/>
        </w:rPr>
        <w:t>University of Leeds</w:t>
      </w:r>
      <w:r w:rsidR="00FC5753">
        <w:t>)</w:t>
      </w:r>
    </w:p>
    <w:p w14:paraId="5A0D11E7" w14:textId="77777777" w:rsidR="0048524B" w:rsidRDefault="0048524B">
      <w:pPr>
        <w:rPr>
          <w:i/>
        </w:rPr>
      </w:pPr>
      <w:r w:rsidRPr="002E1C1E">
        <w:rPr>
          <w:i/>
          <w:noProof/>
        </w:rPr>
        <w:t>The Death of The American Dream? How Donald Trump’s presidency is impacting international student’s employment prospects and intentions for permanent immigration</w:t>
      </w:r>
    </w:p>
    <w:p w14:paraId="4274AB33" w14:textId="77777777" w:rsidR="0048524B" w:rsidRDefault="0048524B">
      <w:r>
        <w:rPr>
          <w:noProof/>
        </w:rPr>
        <w:t>Despite being a thoroughly researched academic area, labour migration has long neglected the influence student migration has had on labour migration movements. The increasing prominence of the world’s students to pursue international study as part of a strategy to gain permanent residence in a country has expressed demand for an investigation into what factors are impacting these students’ migration behaviours. In recent years, it has become increasingly clear that countries tightening ‘immigration policies’ have started to cause international student concern for their permanent immigration hopes. This has been no more evident than in present-day America where, since Donald Trump’s election, international student’s futures in the country have been called into question following his anti-immigration policies and rhetoric during his first Presidential year. In turn, this research involved semi-structured interviews with 20 international students from 14 different nationalities who have been studying in the US under Trump’s Presidency, which were conducted to gain a greater understanding of whether this Presidency has impacted their desire to permanently migrate to the US. Resultantly, this study found that students were overwhelmingly concerned that their ‘employment prospects’ in the US were decreasing under Trump, which in turn was making their hopes for permanent emigration and their ‘American Dream’ more and more unlikely. Despite this, their intentions to continue pursuing permanent residence was still largely mixed, where the student’s country of origin and their intended career path were the key factors dictating their migration behaviours.</w:t>
      </w:r>
    </w:p>
    <w:p w14:paraId="6372B5CA" w14:textId="7BCEADE1" w:rsidR="0048524B" w:rsidRDefault="0048524B">
      <w:r w:rsidRPr="002E1C1E">
        <w:rPr>
          <w:b/>
          <w:noProof/>
        </w:rPr>
        <w:lastRenderedPageBreak/>
        <w:t>Ersel</w:t>
      </w:r>
      <w:r w:rsidRPr="008357DE">
        <w:rPr>
          <w:b/>
        </w:rPr>
        <w:t xml:space="preserve"> </w:t>
      </w:r>
      <w:r w:rsidRPr="002E1C1E">
        <w:rPr>
          <w:b/>
          <w:noProof/>
        </w:rPr>
        <w:t>Awan</w:t>
      </w:r>
      <w:r w:rsidRPr="008357DE">
        <w:rPr>
          <w:b/>
        </w:rPr>
        <w:t xml:space="preserve"> </w:t>
      </w:r>
      <w:r>
        <w:rPr>
          <w:b/>
        </w:rPr>
        <w:t xml:space="preserve"> </w:t>
      </w:r>
      <w:r w:rsidRPr="008357DE">
        <w:t>(</w:t>
      </w:r>
      <w:r>
        <w:rPr>
          <w:noProof/>
        </w:rPr>
        <w:t>University of Leeds</w:t>
      </w:r>
      <w:r w:rsidR="00FC5753">
        <w:t>)</w:t>
      </w:r>
    </w:p>
    <w:p w14:paraId="42B4F4D4" w14:textId="77777777" w:rsidR="0048524B" w:rsidRDefault="0048524B">
      <w:pPr>
        <w:rPr>
          <w:i/>
        </w:rPr>
      </w:pPr>
      <w:r w:rsidRPr="002E1C1E">
        <w:rPr>
          <w:i/>
          <w:noProof/>
        </w:rPr>
        <w:t>Investigating the Modern Slavery Act in International Businesses</w:t>
      </w:r>
    </w:p>
    <w:p w14:paraId="332138D1" w14:textId="77777777" w:rsidR="0048524B" w:rsidRDefault="0048524B" w:rsidP="00AC7DBF">
      <w:pPr>
        <w:rPr>
          <w:noProof/>
        </w:rPr>
      </w:pPr>
      <w:r>
        <w:rPr>
          <w:noProof/>
        </w:rPr>
        <w:t>The UN’s Sustainable Development Goal (SDG) aims to end forced labour and modern slavery. Estimates suggest that 21 million people are in forced labour globally. This project sets out to identify the barriers to addressing modern slavery in the global clothing value chain, understand the motives of suppliers for having forced labour and suggest solutions for global firms and policymakers. This research contributes to a British Academy funded project ‘Pulling a thread: Unravelling the trail of modern slavery in the fashion and textile industry’. Fashion companies that fall under the Modern Slavery Act (MSA) will be researched with respect to how they are understanding, addressing and incorporating the MSA across their global supply chain. Due to the complexity of sourcing materials for their products, businesses have several tiers of international supply chains. Consequently, maintaining close relationships with every supplier is extremely difficult and this lack of maintenance means suppliers in international countries can exploit their staff.</w:t>
      </w:r>
    </w:p>
    <w:p w14:paraId="1C8D6E90" w14:textId="77777777" w:rsidR="0048524B" w:rsidRDefault="0048524B">
      <w:r>
        <w:rPr>
          <w:noProof/>
        </w:rPr>
        <w:t>Section 54 of the MSA 2015 requires organisations to develop a slavery and human trafficking statement each year. The first part of the research involved an intensive case study methodology analysing 50 MSA Statement and Corporate Social Responsibility reports from fashion companies over the past two years. Research from the analysis of the statements revealed 89 per cent of companies had not disclosed information about what steps had been taken in response to identify modern slavery risks. Most statements lacked insightfulness and were limited to broad descriptions of processes and activities. The second part of the research will then build upon this block of knowledge.</w:t>
      </w:r>
    </w:p>
    <w:p w14:paraId="78D74C79" w14:textId="77777777" w:rsidR="0048524B" w:rsidRDefault="0048524B"/>
    <w:p w14:paraId="769DA6B4" w14:textId="48609E93" w:rsidR="0048524B" w:rsidRDefault="0048524B">
      <w:r w:rsidRPr="002E1C1E">
        <w:rPr>
          <w:b/>
          <w:noProof/>
        </w:rPr>
        <w:t>Anna</w:t>
      </w:r>
      <w:r w:rsidRPr="008357DE">
        <w:rPr>
          <w:b/>
        </w:rPr>
        <w:t xml:space="preserve"> </w:t>
      </w:r>
      <w:r w:rsidRPr="002E1C1E">
        <w:rPr>
          <w:b/>
          <w:noProof/>
        </w:rPr>
        <w:t>Gower</w:t>
      </w:r>
      <w:r w:rsidRPr="008357DE">
        <w:rPr>
          <w:b/>
        </w:rPr>
        <w:t xml:space="preserve"> </w:t>
      </w:r>
      <w:r>
        <w:rPr>
          <w:b/>
        </w:rPr>
        <w:t xml:space="preserve"> </w:t>
      </w:r>
      <w:r w:rsidRPr="008357DE">
        <w:t>(</w:t>
      </w:r>
      <w:r>
        <w:rPr>
          <w:noProof/>
        </w:rPr>
        <w:t>University of Leeds</w:t>
      </w:r>
      <w:r w:rsidR="00FC5753">
        <w:t>)</w:t>
      </w:r>
    </w:p>
    <w:p w14:paraId="19114533" w14:textId="77777777" w:rsidR="0048524B" w:rsidRDefault="0048524B">
      <w:pPr>
        <w:rPr>
          <w:i/>
        </w:rPr>
      </w:pPr>
      <w:r w:rsidRPr="002E1C1E">
        <w:rPr>
          <w:i/>
          <w:noProof/>
        </w:rPr>
        <w:t>Can Poststructuralism Help us to Understand the Locations and Functions of State Borders in International Relations?</w:t>
      </w:r>
    </w:p>
    <w:p w14:paraId="4698681B" w14:textId="77777777" w:rsidR="0048524B" w:rsidRDefault="0048524B">
      <w:r>
        <w:rPr>
          <w:noProof/>
        </w:rPr>
        <w:t>Neoliberalism and globalisation have altered border practices to the extent that state borders must accommodate for the flows of people that sustain the global political economy (Ashley, 1988). This thesis aims to foster a more complex and multi-dimensional understanding in international relations of where state borders are to be found and what they do. Poststructuralism rejects the terms of study in international relations and how we perceive politics. Biopolitics has been developed from a post-structural approach and is the idea that species life is the referent object of politics (Agamben, 1998). This study draws on two biopolitical concepts to argue the value of poststructuralism resources in re-imagining the locations and functions of state borders. Firstly, the ‘generalised biopolitical border’ (Vaughan-Williams, 2012, p. 97) is advanced as a way of broadening our understanding of the locations of state borders. Secondly, the concept of a biometric border is proposed as a method of understanding borders not as static lines on a map but rather as being dynamic and able to perform functions (Amoore, 2006; Muller, 2011). Throughout, Germany is used as a case study to demonstrate how contemporary border practices require new and fresh imaginations of state borders. While this study argues the value of these biopolitical concepts, it also engages with them critically, arguing that further research is required to understand how bordering processes impact populations of different ethnicities or race. It suggests that a decolonialist approach to bordering processes helps us to understand how biometric technologies have been ‘calibrated’ to Whiteness.</w:t>
      </w:r>
    </w:p>
    <w:p w14:paraId="5FDE9E96" w14:textId="504F6638" w:rsidR="0048524B" w:rsidRDefault="00FC5753" w:rsidP="00B62EF8">
      <w:pPr>
        <w:pStyle w:val="Heading1"/>
      </w:pPr>
      <w:r>
        <w:lastRenderedPageBreak/>
        <w:t xml:space="preserve">Panel 8A: </w:t>
      </w:r>
      <w:r w:rsidR="00B62EF8" w:rsidRPr="00B62EF8">
        <w:t>Women, Work and Culture</w:t>
      </w:r>
    </w:p>
    <w:p w14:paraId="111160DE" w14:textId="77777777" w:rsidR="00B62EF8" w:rsidRPr="00B62EF8" w:rsidRDefault="00B62EF8" w:rsidP="00B62EF8"/>
    <w:p w14:paraId="7A76C4F8" w14:textId="27A33A9A" w:rsidR="0048524B" w:rsidRDefault="0048524B">
      <w:r w:rsidRPr="002E1C1E">
        <w:rPr>
          <w:b/>
          <w:noProof/>
        </w:rPr>
        <w:t>Linda</w:t>
      </w:r>
      <w:r w:rsidRPr="008357DE">
        <w:rPr>
          <w:b/>
        </w:rPr>
        <w:t xml:space="preserve"> </w:t>
      </w:r>
      <w:r w:rsidRPr="002E1C1E">
        <w:rPr>
          <w:b/>
          <w:noProof/>
        </w:rPr>
        <w:t>Mafirakurewa</w:t>
      </w:r>
      <w:r w:rsidRPr="008357DE">
        <w:rPr>
          <w:b/>
        </w:rPr>
        <w:t xml:space="preserve"> </w:t>
      </w:r>
      <w:r>
        <w:rPr>
          <w:b/>
        </w:rPr>
        <w:t xml:space="preserve"> </w:t>
      </w:r>
      <w:r w:rsidRPr="008357DE">
        <w:t>(</w:t>
      </w:r>
      <w:r>
        <w:rPr>
          <w:noProof/>
        </w:rPr>
        <w:t>Monash University South Africa</w:t>
      </w:r>
      <w:r w:rsidR="00B62EF8">
        <w:t>)</w:t>
      </w:r>
    </w:p>
    <w:p w14:paraId="396F4E30" w14:textId="77777777" w:rsidR="0048524B" w:rsidRDefault="0048524B">
      <w:pPr>
        <w:rPr>
          <w:i/>
        </w:rPr>
      </w:pPr>
      <w:r w:rsidRPr="002E1C1E">
        <w:rPr>
          <w:i/>
          <w:noProof/>
        </w:rPr>
        <w:t>Empowering Women and Girls Is Smart Economics in Realising Africa’s Potential</w:t>
      </w:r>
    </w:p>
    <w:p w14:paraId="7E175715" w14:textId="77777777" w:rsidR="0048524B" w:rsidRDefault="0048524B">
      <w:r>
        <w:rPr>
          <w:noProof/>
        </w:rPr>
        <w:t>It is the dawn of a new era, a new age in which women play a pivotal and crucial role in society. Young women are becoming increasingly comfortable with taking centre stage and asserting their ability to sway the economy. Such progressiveness is evidence of the essential nature of educating and empowering women: not only does it alleviate poverty, but it also brings diversity and strength to private, public and charitable sectors globally. Recent research suggests that promoting women in industries is crucial for healthy and sustainable economies. This can be achieved through establishing financial institutions to provide capital or start-up plans for women seeking to start their own businesses in conjunction with educating women on global financial situations while providing equal yet competitive opportunities for them to enter the business world. I investigated what links exist between the economic development and inclusion of women to be economic players. The results revealed that the intense handwork ethic of women cannot be denied or understated; everywhere throughout the world, real professional strides are being made by women with incredible business savvy, determination, focus and resilience. Women in Africa need to succeed in creating names for themselves and change the poverty that exists throughout the continent.</w:t>
      </w:r>
    </w:p>
    <w:p w14:paraId="6074C40D" w14:textId="77777777" w:rsidR="0048524B" w:rsidRDefault="0048524B"/>
    <w:p w14:paraId="7A9217A3" w14:textId="2FE29BEA" w:rsidR="0048524B" w:rsidRDefault="0048524B">
      <w:r w:rsidRPr="002E1C1E">
        <w:rPr>
          <w:b/>
          <w:noProof/>
        </w:rPr>
        <w:t>Nicola</w:t>
      </w:r>
      <w:r w:rsidRPr="008357DE">
        <w:rPr>
          <w:b/>
        </w:rPr>
        <w:t xml:space="preserve"> </w:t>
      </w:r>
      <w:r w:rsidRPr="002E1C1E">
        <w:rPr>
          <w:b/>
          <w:noProof/>
        </w:rPr>
        <w:t>O'Pray</w:t>
      </w:r>
      <w:r w:rsidRPr="008357DE">
        <w:rPr>
          <w:b/>
        </w:rPr>
        <w:t xml:space="preserve"> </w:t>
      </w:r>
      <w:r>
        <w:rPr>
          <w:b/>
        </w:rPr>
        <w:t xml:space="preserve"> </w:t>
      </w:r>
      <w:r w:rsidRPr="008357DE">
        <w:t>(</w:t>
      </w:r>
      <w:r>
        <w:rPr>
          <w:noProof/>
        </w:rPr>
        <w:t>University of Leeds</w:t>
      </w:r>
      <w:r w:rsidR="00B62EF8">
        <w:t>)</w:t>
      </w:r>
    </w:p>
    <w:p w14:paraId="51A1BE27" w14:textId="77777777" w:rsidR="0048524B" w:rsidRDefault="0048524B">
      <w:pPr>
        <w:rPr>
          <w:i/>
        </w:rPr>
      </w:pPr>
      <w:r w:rsidRPr="002E1C1E">
        <w:rPr>
          <w:i/>
          <w:noProof/>
        </w:rPr>
        <w:t>Exploring Social Perceptions of Women Leaders at Work: How does the double bind of appearance and personality impact women’s opportunities to make it to the top?</w:t>
      </w:r>
    </w:p>
    <w:p w14:paraId="4508B469" w14:textId="77777777" w:rsidR="0048524B" w:rsidRDefault="0048524B">
      <w:r>
        <w:rPr>
          <w:noProof/>
        </w:rPr>
        <w:t>This study offers a new contribution to the Double Bind Theory, emphasising the impact of appearance and personality in obtaining executive level positions. Double Bind Theory explores how women are expected to perform femininities associated with women (appearance) while also demonstrating masculinities that are expected of those who occupy executive positions (personality.) In order to identify the issues concerning the ‘double bind’, operating against women in organisations, qualitative techniques were employed to gather rich sources of information to understand women’s experiences. Particularly, semi-structured interviews were utilised to compare and contrast the perceptions of two distinct groups: women leaders and women at the bottom of organisations. An adaptation of Smith’s Interpretative Phenomenological Analysis (1996) was utilised to investigate the social meanings of the organisational world. Through this analysis, findings illustrate that the ‘double bind’ is prevalent within organisations, particularly the private sector. Accounts from both groups highlight issues concerning ‘masculine’ leadership styles of women leaders and the prevalence of sexism in organisations. Barriers beyond the double bind are also addressed to discuss how motherhood and a lack of ‘real models’ in organisations impact women’s opportunities to make it to the top. Despite this, findings indicate that the discovery of ‘authentic leadership’ may favour women and allow them to prosper in the future. Findings are then advanced to call for future research to explore how the ‘double bind’ may vary depending on the industry in which the organisation operates.</w:t>
      </w:r>
    </w:p>
    <w:p w14:paraId="79FDFC9A" w14:textId="77777777" w:rsidR="0048524B" w:rsidRDefault="0048524B"/>
    <w:p w14:paraId="60501CCF" w14:textId="77777777" w:rsidR="00B62EF8" w:rsidRDefault="00B62EF8">
      <w:pPr>
        <w:rPr>
          <w:b/>
          <w:noProof/>
        </w:rPr>
      </w:pPr>
    </w:p>
    <w:p w14:paraId="1FD0A5B2" w14:textId="5209E2D6" w:rsidR="0048524B" w:rsidRDefault="0048524B">
      <w:r w:rsidRPr="002E1C1E">
        <w:rPr>
          <w:b/>
          <w:noProof/>
        </w:rPr>
        <w:lastRenderedPageBreak/>
        <w:t>Melisa</w:t>
      </w:r>
      <w:r w:rsidRPr="008357DE">
        <w:rPr>
          <w:b/>
        </w:rPr>
        <w:t xml:space="preserve"> </w:t>
      </w:r>
      <w:r w:rsidRPr="002E1C1E">
        <w:rPr>
          <w:b/>
          <w:noProof/>
        </w:rPr>
        <w:t>Tehrani</w:t>
      </w:r>
      <w:r w:rsidRPr="008357DE">
        <w:rPr>
          <w:b/>
        </w:rPr>
        <w:t xml:space="preserve"> </w:t>
      </w:r>
      <w:r>
        <w:rPr>
          <w:b/>
        </w:rPr>
        <w:t xml:space="preserve"> </w:t>
      </w:r>
      <w:r w:rsidRPr="008357DE">
        <w:t>(</w:t>
      </w:r>
      <w:r>
        <w:rPr>
          <w:noProof/>
        </w:rPr>
        <w:t>University of Leeds</w:t>
      </w:r>
      <w:r w:rsidR="00B62EF8">
        <w:t>)</w:t>
      </w:r>
    </w:p>
    <w:p w14:paraId="227159FC" w14:textId="77777777" w:rsidR="0048524B" w:rsidRDefault="0048524B">
      <w:pPr>
        <w:rPr>
          <w:i/>
        </w:rPr>
      </w:pPr>
      <w:r w:rsidRPr="002E1C1E">
        <w:rPr>
          <w:i/>
          <w:noProof/>
        </w:rPr>
        <w:t>The Depiction of Oversees Development Aid as a Colonial Legacy and its Impact on Adolescent Girlhood in Tsitsi Dangarembga’s The Book of Not (2006) and NoViolet Bulawayo’s We Need New Names (2013)</w:t>
      </w:r>
    </w:p>
    <w:p w14:paraId="7195D47D" w14:textId="77777777" w:rsidR="0048524B" w:rsidRDefault="0048524B">
      <w:r>
        <w:rPr>
          <w:noProof/>
        </w:rPr>
        <w:t>This project depicts Overseas Development Aid (ODA), also known as international aid, as a colonial legacy in post-independent Zimbabwe. Through the novels, The Book of Not (2006) by Tsitsi Dangarembga and We Need New Names (2013) by NoViolet Bulawayo, it will demonstrate the devastating impact Western ODA inflicts on adolescent girlhood and the self-image of the native. This is done by analysing the current ODA model alongside existing post-colonial discourse, such as the binary constructions of identity outlined by Edward Said’s Orientalism. This Imperialist concoction distanced the European human experience from the native’s and named the latter inferior and dependant on the former. In the novels, ODA re-produces this colonial myth of opposing identities as it measures the native against European standards of development with little regard for cultural differences. In doing so, it replicates colonial oppressions, Othering and culturally dominating the adolescent native girl. Indeed, both authors amplify their protagonist’s vulnerability to a colonised mentality by placing them in the most marginalised strata of society, what Gayatri Spivak calls, ‘the subaltern’. Our protagonists fall into the category of the subaltern as both young women are poor and natives of a patriarchal, colonised society. They are socio-politically outside the hegemonic power structure that rules them and consequently have the perfect aesthetic profile and need for ODA. While this paper focuses on international aid, it also acknowledges that ODA’s overwhelming domination of the subaltern native would not be possible were it not for the oppressive foundations of colonial and nationalist regimes already established in her country.</w:t>
      </w:r>
    </w:p>
    <w:p w14:paraId="1C05A53D" w14:textId="77777777" w:rsidR="0048524B" w:rsidRDefault="0048524B"/>
    <w:p w14:paraId="1FA0E94F" w14:textId="33B2162F" w:rsidR="0048524B" w:rsidRDefault="0048524B">
      <w:r w:rsidRPr="002E1C1E">
        <w:rPr>
          <w:b/>
          <w:noProof/>
        </w:rPr>
        <w:t>Anoshamisa</w:t>
      </w:r>
      <w:r w:rsidRPr="008357DE">
        <w:rPr>
          <w:b/>
        </w:rPr>
        <w:t xml:space="preserve"> </w:t>
      </w:r>
      <w:r w:rsidRPr="002E1C1E">
        <w:rPr>
          <w:b/>
          <w:noProof/>
        </w:rPr>
        <w:t>Gonye</w:t>
      </w:r>
      <w:r w:rsidRPr="008357DE">
        <w:rPr>
          <w:b/>
        </w:rPr>
        <w:t xml:space="preserve"> </w:t>
      </w:r>
      <w:r w:rsidRPr="002E1C1E">
        <w:rPr>
          <w:b/>
          <w:noProof/>
        </w:rPr>
        <w:t>and Dan Nadasan</w:t>
      </w:r>
      <w:r>
        <w:rPr>
          <w:b/>
        </w:rPr>
        <w:t xml:space="preserve"> </w:t>
      </w:r>
      <w:r w:rsidRPr="008357DE">
        <w:t>(</w:t>
      </w:r>
      <w:r>
        <w:rPr>
          <w:noProof/>
        </w:rPr>
        <w:t>University of Warwick</w:t>
      </w:r>
      <w:r w:rsidR="00B62EF8">
        <w:t>)</w:t>
      </w:r>
    </w:p>
    <w:p w14:paraId="7B232E7F" w14:textId="77777777" w:rsidR="0048524B" w:rsidRDefault="0048524B">
      <w:pPr>
        <w:rPr>
          <w:i/>
        </w:rPr>
      </w:pPr>
      <w:r w:rsidRPr="002E1C1E">
        <w:rPr>
          <w:i/>
          <w:noProof/>
        </w:rPr>
        <w:t>Widening Participation in Higher Education Through Undergraduate Research</w:t>
      </w:r>
    </w:p>
    <w:p w14:paraId="0FBBC430" w14:textId="77777777" w:rsidR="0048524B" w:rsidRDefault="0048524B">
      <w:r>
        <w:rPr>
          <w:noProof/>
        </w:rPr>
        <w:t>This presentation focuses on theoretically bridging two institutional movements that have gained increasing momentum in the UK academic landscape: Widening Participation and Undergraduate Research. While Widening Participation (WP) is a nation-wide policy-movement seeking to increase the participation of underrepresented groups in higher education (HE), Undergraduate Research (UR) has instilled a paradigmatic shift towards considering undergraduate students as intra-institutional partners in producing academic knowledge. In light of this context, our research focuses on arguing that UR constitutes an effective institutional tool for the integration of WP students into a community of academic practice. Thus, we have adopted a holistic approach to consider how UR can enrich the qualitative experiences of WP students within the whole student lifecycle, positively impacting their retention and post-university progression, and going beyond the traditional, quantitative measurement of WP activity at the outreach and recruitment stages. In our research, we have identified a disparity in the literature between US and UK theoretical approaches to promoting UR as a high-impact practice for improving undergraduate academic experiences and outcomes. As such, our comparative methodological approach, centred around an extensive, empirically oriented literature review, corroborates the thesis that, through UR, WP students can develop a sense of self-authorship and scholarly independence, which can substantially improve their academic engagement, retention and educational outcomes. Thus, a preliminary implication is that for UK undergraduate research schemes to fulfil their inclusive potential, a stronger emphasis should be placed on UR as a holistic, immersive and community-based academic endeavour.</w:t>
      </w:r>
    </w:p>
    <w:p w14:paraId="31621744" w14:textId="2F67021A" w:rsidR="0048524B" w:rsidRDefault="00B62EF8" w:rsidP="00B62EF8">
      <w:pPr>
        <w:pStyle w:val="Heading1"/>
      </w:pPr>
      <w:r>
        <w:lastRenderedPageBreak/>
        <w:t xml:space="preserve">Panel 8B: </w:t>
      </w:r>
      <w:r w:rsidRPr="00B62EF8">
        <w:t>Experiences of Women</w:t>
      </w:r>
    </w:p>
    <w:p w14:paraId="1DC86535" w14:textId="77777777" w:rsidR="00B62EF8" w:rsidRPr="00B62EF8" w:rsidRDefault="00B62EF8" w:rsidP="00B62EF8"/>
    <w:p w14:paraId="1B235D87" w14:textId="3286D17E" w:rsidR="0048524B" w:rsidRDefault="0048524B">
      <w:r w:rsidRPr="002E1C1E">
        <w:rPr>
          <w:b/>
          <w:noProof/>
        </w:rPr>
        <w:t>Mary</w:t>
      </w:r>
      <w:r w:rsidRPr="008357DE">
        <w:rPr>
          <w:b/>
        </w:rPr>
        <w:t xml:space="preserve"> </w:t>
      </w:r>
      <w:r w:rsidRPr="002E1C1E">
        <w:rPr>
          <w:b/>
          <w:noProof/>
        </w:rPr>
        <w:t>Amigud</w:t>
      </w:r>
      <w:r w:rsidRPr="008357DE">
        <w:rPr>
          <w:b/>
        </w:rPr>
        <w:t xml:space="preserve"> </w:t>
      </w:r>
      <w:r w:rsidRPr="002E1C1E">
        <w:rPr>
          <w:b/>
          <w:noProof/>
        </w:rPr>
        <w:t>and Theresa He</w:t>
      </w:r>
      <w:r>
        <w:rPr>
          <w:b/>
        </w:rPr>
        <w:t xml:space="preserve"> </w:t>
      </w:r>
      <w:r w:rsidRPr="008357DE">
        <w:t>(</w:t>
      </w:r>
      <w:r>
        <w:rPr>
          <w:noProof/>
        </w:rPr>
        <w:t>Baruch College, CUNY</w:t>
      </w:r>
      <w:r w:rsidR="00B62EF8">
        <w:t>)</w:t>
      </w:r>
    </w:p>
    <w:p w14:paraId="36C7C502" w14:textId="77777777" w:rsidR="0048524B" w:rsidRDefault="0048524B">
      <w:pPr>
        <w:rPr>
          <w:i/>
        </w:rPr>
      </w:pPr>
      <w:r w:rsidRPr="002E1C1E">
        <w:rPr>
          <w:i/>
          <w:noProof/>
        </w:rPr>
        <w:t>Rebellious and Cute: Kawaii fashion</w:t>
      </w:r>
    </w:p>
    <w:p w14:paraId="28DDA3B6" w14:textId="77777777" w:rsidR="0048524B" w:rsidRDefault="0048524B">
      <w:r>
        <w:rPr>
          <w:noProof/>
        </w:rPr>
        <w:t>This study examines kawaii (cute) fashion in Japan. It is primarily a sartorial expression with unique cute style, initially associated with girls’ street fashion, but it has widely influenced other fields such as art, design, music and character merchandising business. Historically, Japan has received various cultural influences from European cultures, including attire and clothing styles, but kawaii fashion is unique to Japan. By studying kawaii fashion and culture, we can learn more about the Japanese idea of aesthetics and the mindset behind its decorative surface. In this presentation, we argue that Japanese kawaii fashion evolved from a sense of rebellion with a desire to express oneself in ways that one normally would not be able to, due to age, social norms and a normative sense of proper adulthood. The kawaii fashion trend started out as a gesture of youth rebellion against society’s norms, especially about marriage and the expected life course for girls and women. Drawing from scholarly articles in Fashion Studies, Japan Studies and Cultural Studies, this presentation approaches kawaii fashion as a subculture that negotiates social power in terms of gender/sexual identity and builds communities among the practitioners of kawaii fashion. Finally, the presentation describes how this Japanese culture has shifted over time and has been appropriated by US celebrities.</w:t>
      </w:r>
    </w:p>
    <w:p w14:paraId="59DE499E" w14:textId="77777777" w:rsidR="0048524B" w:rsidRDefault="0048524B"/>
    <w:p w14:paraId="3FBB1DB2" w14:textId="4F0A3B67" w:rsidR="0048524B" w:rsidRDefault="0048524B">
      <w:r w:rsidRPr="002E1C1E">
        <w:rPr>
          <w:b/>
          <w:noProof/>
        </w:rPr>
        <w:t>Megan</w:t>
      </w:r>
      <w:r w:rsidRPr="008357DE">
        <w:rPr>
          <w:b/>
        </w:rPr>
        <w:t xml:space="preserve"> </w:t>
      </w:r>
      <w:r w:rsidRPr="002E1C1E">
        <w:rPr>
          <w:b/>
          <w:noProof/>
        </w:rPr>
        <w:t>Houston</w:t>
      </w:r>
      <w:r w:rsidRPr="008357DE">
        <w:rPr>
          <w:b/>
        </w:rPr>
        <w:t xml:space="preserve"> </w:t>
      </w:r>
      <w:r>
        <w:rPr>
          <w:b/>
        </w:rPr>
        <w:t xml:space="preserve"> </w:t>
      </w:r>
      <w:r w:rsidRPr="008357DE">
        <w:t>(</w:t>
      </w:r>
      <w:r>
        <w:rPr>
          <w:noProof/>
        </w:rPr>
        <w:t>University of Leeds</w:t>
      </w:r>
      <w:r w:rsidR="00B62EF8">
        <w:t>)</w:t>
      </w:r>
    </w:p>
    <w:p w14:paraId="086F13B4" w14:textId="77777777" w:rsidR="0048524B" w:rsidRDefault="0048524B">
      <w:pPr>
        <w:rPr>
          <w:i/>
        </w:rPr>
      </w:pPr>
      <w:r w:rsidRPr="002E1C1E">
        <w:rPr>
          <w:i/>
          <w:noProof/>
        </w:rPr>
        <w:t>Women in the Early Islamic Conquests</w:t>
      </w:r>
    </w:p>
    <w:p w14:paraId="2853924B" w14:textId="77777777" w:rsidR="0048524B" w:rsidRDefault="0048524B">
      <w:r>
        <w:rPr>
          <w:noProof/>
        </w:rPr>
        <w:t>This project aims to create a bottom-up approach to examining the role of women during the early Islamic conquests, looking at the period between 622 and 750 CE stretching from modern-day Spain to China. It aims to combat the erasure of the role of women in Islamic history and to prevent the narrative of exceptionalism from dominating recent analysis. A focus on this early period helps to draw a direct contrast between the lives of women pre- and post-establishment of Islam as well as recognising the ways that women contributed to the formation of the Islamic world. ‘Resistant reading’ will be employed to counter source material overwhelmingly produced by men, and to combat the lack of parity between law and common practice, alongside a focus on unearthing primary and secondary sources produced by women, utilising some translations from original texts. A current lack of research in early Islamic women, alongside limited work produced with a bottom-up approach, means that this project is vital to accurately contextualise contemporary gender studies across the Middle East as well as to understand the social and political contributions of women to a region that dominates modern discourse.</w:t>
      </w:r>
    </w:p>
    <w:p w14:paraId="2920200A" w14:textId="77777777" w:rsidR="0048524B" w:rsidRDefault="0048524B"/>
    <w:p w14:paraId="5079DC79" w14:textId="4C28E6DA" w:rsidR="0048524B" w:rsidRDefault="0048524B">
      <w:r w:rsidRPr="002E1C1E">
        <w:rPr>
          <w:b/>
          <w:noProof/>
        </w:rPr>
        <w:t>Sue</w:t>
      </w:r>
      <w:r w:rsidRPr="008357DE">
        <w:rPr>
          <w:b/>
        </w:rPr>
        <w:t xml:space="preserve"> </w:t>
      </w:r>
      <w:r w:rsidRPr="002E1C1E">
        <w:rPr>
          <w:b/>
          <w:noProof/>
        </w:rPr>
        <w:t>Lemos</w:t>
      </w:r>
      <w:r w:rsidRPr="008357DE">
        <w:rPr>
          <w:b/>
        </w:rPr>
        <w:t xml:space="preserve"> </w:t>
      </w:r>
      <w:r>
        <w:rPr>
          <w:b/>
        </w:rPr>
        <w:t xml:space="preserve"> </w:t>
      </w:r>
      <w:r w:rsidRPr="008357DE">
        <w:t>(</w:t>
      </w:r>
      <w:r>
        <w:rPr>
          <w:noProof/>
        </w:rPr>
        <w:t>University of Warwick</w:t>
      </w:r>
      <w:r w:rsidR="00B62EF8">
        <w:t>)</w:t>
      </w:r>
    </w:p>
    <w:p w14:paraId="6E0BFAAD" w14:textId="77777777" w:rsidR="0048524B" w:rsidRDefault="0048524B">
      <w:pPr>
        <w:rPr>
          <w:i/>
        </w:rPr>
      </w:pPr>
      <w:r w:rsidRPr="002E1C1E">
        <w:rPr>
          <w:i/>
          <w:noProof/>
        </w:rPr>
        <w:t>Sisterhood and its Fragments: The Organisation of Women of African and Asian Descent</w:t>
      </w:r>
    </w:p>
    <w:p w14:paraId="5C9CAE31" w14:textId="77777777" w:rsidR="0048524B" w:rsidRDefault="0048524B">
      <w:r>
        <w:rPr>
          <w:noProof/>
        </w:rPr>
        <w:t xml:space="preserve">The formation of the Organisation of Women of African and Asian Descent (OWAAD) in 1979 was a catalyst for the Black [African, Afro-Caribbean and South Asian] British women’s movement, creating the first documented national network of Black women activists. In post-war Britain, people of African, Afro-Caribbean and South Asian descent conceptualised ‘Black’ as a political moniker for </w:t>
      </w:r>
      <w:r>
        <w:rPr>
          <w:noProof/>
        </w:rPr>
        <w:lastRenderedPageBreak/>
        <w:t>their cross-ethnic coalition. It articulated a diasporic consciousness of their shared experience of racialisation in Britain and joint histories of colonialism and imperialism. OWAAD has been celebrated by scholars and activists alike for asserting a gendered discourse of political blackness, concerning the intersection of race, gender and class, that gave Black women visibility. However, the dominant memorialisation of the organisation underemphasises the exclusion of Black lesbian women and fraught praxis of Afro-Asian solidarity, which contributed to OWAAD’s demise in 1983. This paper draws on oral history collections, organisational documents, publications by activists and other ephemera to elucidate the exclusion of Black lesbian women and political blackness as a contested space. Although the organisation projected ‘Afro-Asian unity’, South Asian women complained of their marginalisation, and some sisters even proposed that South Asian women should not be included under blackness. Furthermore, the counter-memory of Black lesbian activists illuminates OWAAD as a space of fragmented visibility and isolation. This paper proposes that the experience of heterosexism further politicised Black lesbians, leading to the subsequent Black lesbian movement. Ultimately, the question of sexuality expanded the restrictive boundaries of OWAAD’s conception of Black womanhood.</w:t>
      </w:r>
    </w:p>
    <w:p w14:paraId="01D364A6" w14:textId="77777777" w:rsidR="0048524B" w:rsidRDefault="0048524B"/>
    <w:p w14:paraId="25C8D56D" w14:textId="52E161B8" w:rsidR="0048524B" w:rsidRDefault="0048524B">
      <w:r w:rsidRPr="002E1C1E">
        <w:rPr>
          <w:b/>
          <w:noProof/>
        </w:rPr>
        <w:t>Davida</w:t>
      </w:r>
      <w:r w:rsidRPr="008357DE">
        <w:rPr>
          <w:b/>
        </w:rPr>
        <w:t xml:space="preserve"> </w:t>
      </w:r>
      <w:r w:rsidRPr="002E1C1E">
        <w:rPr>
          <w:b/>
          <w:noProof/>
        </w:rPr>
        <w:t>Mottram-Epson</w:t>
      </w:r>
      <w:r w:rsidRPr="008357DE">
        <w:rPr>
          <w:b/>
        </w:rPr>
        <w:t xml:space="preserve"> </w:t>
      </w:r>
      <w:r>
        <w:rPr>
          <w:b/>
        </w:rPr>
        <w:t xml:space="preserve"> </w:t>
      </w:r>
      <w:r w:rsidRPr="008357DE">
        <w:t>(</w:t>
      </w:r>
      <w:r>
        <w:rPr>
          <w:noProof/>
        </w:rPr>
        <w:t>University of Warwick</w:t>
      </w:r>
      <w:r w:rsidR="00B62EF8">
        <w:t>)</w:t>
      </w:r>
    </w:p>
    <w:p w14:paraId="24B07504" w14:textId="77777777" w:rsidR="0048524B" w:rsidRDefault="0048524B">
      <w:pPr>
        <w:rPr>
          <w:i/>
        </w:rPr>
      </w:pPr>
      <w:r w:rsidRPr="002E1C1E">
        <w:rPr>
          <w:i/>
          <w:noProof/>
        </w:rPr>
        <w:t>Iranian Women and the State: Exploring stasis-kinesis in the revolution through Iranian literature</w:t>
      </w:r>
    </w:p>
    <w:p w14:paraId="2085F0B3" w14:textId="77777777" w:rsidR="0048524B" w:rsidRDefault="0048524B" w:rsidP="00AC7DBF">
      <w:pPr>
        <w:rPr>
          <w:noProof/>
        </w:rPr>
      </w:pPr>
      <w:r>
        <w:rPr>
          <w:noProof/>
        </w:rPr>
        <w:t>Much work has been done on the Iranian revolution and its impact on women, and even a cursory glance at writing on the revolution makes it clear massive changes to the rights of women occurred over this period. Women’s bodies being used as a site of contestation is not a new phenomenon; however, the reversal of rights in Iran is particularly interesting because it occurs to the very women that had campaigned and fought for the Islamic republic to gain power. In this paper, I examine how women perceive themselves in relation to the nation-state, and the stasis-kinesis that arises from the tension between the modern, liberal values introduced by the Shah and the religious fundamentalism that became intrinsic to national identity.</w:t>
      </w:r>
    </w:p>
    <w:p w14:paraId="4D6FB920" w14:textId="77777777" w:rsidR="0048524B" w:rsidRDefault="0048524B">
      <w:r>
        <w:rPr>
          <w:noProof/>
        </w:rPr>
        <w:t>I believe a fundamental component of our understanding of this cultural moment can only come from research using cultural production. Therefore, in this project I use the primary texts Women without Men by Shahrnush Parsipur and Persepolis by Marjane Satrapi – both Iranian women who experienced the revolution first-hand – to gain an understanding of this socio-political moment of revolution. I analyse the conflicted reactions of the characters to issues such as the hijab, sexuality, discourses around virginity and laws surrounding marriage using a variety of historians and theorists such as Foucault’s concept of the medicalised gaze, Meir Litvak’s writings on Iranian nationalism and Ahmadi’s research on virginity in Iran in order understand how the struggles in the text give us insight into the revolution more widely.</w:t>
      </w:r>
    </w:p>
    <w:p w14:paraId="521DE002" w14:textId="77777777" w:rsidR="0048524B" w:rsidRDefault="0048524B"/>
    <w:p w14:paraId="4FFA6A0A" w14:textId="77777777" w:rsidR="00B62EF8" w:rsidRDefault="00B62EF8">
      <w:pPr>
        <w:rPr>
          <w:b/>
          <w:noProof/>
        </w:rPr>
      </w:pPr>
      <w:r>
        <w:rPr>
          <w:b/>
          <w:noProof/>
        </w:rPr>
        <w:br w:type="page"/>
      </w:r>
    </w:p>
    <w:p w14:paraId="51734DC0" w14:textId="7FD0C24E" w:rsidR="00B62EF8" w:rsidRDefault="00B62EF8" w:rsidP="002F3D6F">
      <w:pPr>
        <w:pStyle w:val="Heading1"/>
      </w:pPr>
      <w:r>
        <w:lastRenderedPageBreak/>
        <w:t xml:space="preserve">Panel 8C: </w:t>
      </w:r>
      <w:r w:rsidRPr="00B62EF8">
        <w:t>Cultures and Inclusion</w:t>
      </w:r>
    </w:p>
    <w:p w14:paraId="06BB1F14" w14:textId="77777777" w:rsidR="002F3D6F" w:rsidRPr="002F3D6F" w:rsidRDefault="002F3D6F" w:rsidP="002F3D6F"/>
    <w:p w14:paraId="5F278F55" w14:textId="54174BB2" w:rsidR="0048524B" w:rsidRDefault="0048524B">
      <w:r w:rsidRPr="002E1C1E">
        <w:rPr>
          <w:b/>
          <w:noProof/>
        </w:rPr>
        <w:t>Ife</w:t>
      </w:r>
      <w:r w:rsidRPr="008357DE">
        <w:rPr>
          <w:b/>
        </w:rPr>
        <w:t xml:space="preserve"> </w:t>
      </w:r>
      <w:r w:rsidRPr="002E1C1E">
        <w:rPr>
          <w:b/>
          <w:noProof/>
        </w:rPr>
        <w:t>Akinroyeje</w:t>
      </w:r>
      <w:r w:rsidRPr="008357DE">
        <w:rPr>
          <w:b/>
        </w:rPr>
        <w:t xml:space="preserve"> </w:t>
      </w:r>
      <w:r>
        <w:rPr>
          <w:b/>
        </w:rPr>
        <w:t xml:space="preserve"> </w:t>
      </w:r>
      <w:r w:rsidRPr="008357DE">
        <w:t>(</w:t>
      </w:r>
      <w:r>
        <w:rPr>
          <w:noProof/>
        </w:rPr>
        <w:t>University of Warwick</w:t>
      </w:r>
      <w:r w:rsidR="002F3D6F">
        <w:t>)</w:t>
      </w:r>
    </w:p>
    <w:p w14:paraId="0BB28B38" w14:textId="77777777" w:rsidR="0048524B" w:rsidRDefault="0048524B">
      <w:pPr>
        <w:rPr>
          <w:i/>
        </w:rPr>
      </w:pPr>
      <w:r w:rsidRPr="002E1C1E">
        <w:rPr>
          <w:i/>
          <w:noProof/>
        </w:rPr>
        <w:t>Sense of Belonging and Responses to Low Feelings of Belonging Among Black Students at a UK University</w:t>
      </w:r>
    </w:p>
    <w:p w14:paraId="5B93A6ED" w14:textId="77777777" w:rsidR="0048524B" w:rsidRDefault="0048524B">
      <w:r>
        <w:rPr>
          <w:noProof/>
        </w:rPr>
        <w:t>Black students at universities in the UK have considerably lower retention rates and academic attainment than their White and Asian counterparts (Social Market Foundation and UPP Foundation, 2017). Despite this, the experiences of Black students at universities in the UK is a largely unexplored area of research. Therefore, the experience of Black students is not only an interesting site of study but also a vital one. Informed by Frantz Fanon’s Black Skin, White Masks and Critical Race Theory, this research explores the experiences of Black students at the University of Warwick, a top institution and Russell Group university. The phenomena of ‘belonging’ has been found to positively impact academic attainment, academic retention and motivation (Goodenow, 1993; Hurtado and Carter, 1997). Therefore, this research is particularly interested in feelings of belonging among Black students and how they respond to low feelings of belonging. This research used in-depth one-to-one interviews with five Black students who have attended Warwick. Interviews were semi-structured and lasted between 54 minutes and 180 minutes. This research reveals that race has played a key role in shaping Black students’ experiences and sense of belonging at university. Despite, the pervasiveness of race and racism within the academic setting, how Black students experience the university space is an intersectional experience. Other social identities including ethnicity, gender, class, sexuality and nationality intersect with race to shape Black students’ experiences. Students were found to respond to low feelings of belonging in a variety of ways including through excluding themselves from university spaces, seeking emotional support from family and friends, and through involvement in extra-curricular activities.</w:t>
      </w:r>
    </w:p>
    <w:p w14:paraId="4A77CC28" w14:textId="77777777" w:rsidR="0048524B" w:rsidRDefault="0048524B"/>
    <w:p w14:paraId="70DFF03F" w14:textId="03F77851" w:rsidR="0048524B" w:rsidRDefault="0048524B">
      <w:r w:rsidRPr="002E1C1E">
        <w:rPr>
          <w:b/>
          <w:noProof/>
        </w:rPr>
        <w:t>Gabriel</w:t>
      </w:r>
      <w:r w:rsidRPr="008357DE">
        <w:rPr>
          <w:b/>
        </w:rPr>
        <w:t xml:space="preserve"> </w:t>
      </w:r>
      <w:r w:rsidRPr="002E1C1E">
        <w:rPr>
          <w:b/>
          <w:noProof/>
        </w:rPr>
        <w:t>Qazi</w:t>
      </w:r>
      <w:r w:rsidRPr="008357DE">
        <w:rPr>
          <w:b/>
        </w:rPr>
        <w:t xml:space="preserve"> </w:t>
      </w:r>
      <w:r>
        <w:rPr>
          <w:b/>
        </w:rPr>
        <w:t xml:space="preserve"> </w:t>
      </w:r>
      <w:r w:rsidRPr="008357DE">
        <w:t>(</w:t>
      </w:r>
      <w:r>
        <w:rPr>
          <w:noProof/>
        </w:rPr>
        <w:t>University of Warwick</w:t>
      </w:r>
      <w:r w:rsidR="002F3D6F">
        <w:t>)</w:t>
      </w:r>
    </w:p>
    <w:p w14:paraId="5A10994C" w14:textId="77777777" w:rsidR="0048524B" w:rsidRDefault="0048524B">
      <w:pPr>
        <w:rPr>
          <w:i/>
        </w:rPr>
      </w:pPr>
      <w:r w:rsidRPr="002E1C1E">
        <w:rPr>
          <w:i/>
          <w:noProof/>
        </w:rPr>
        <w:t>The Sacred Band of Thebes: The soldiers of lovers and beloved</w:t>
      </w:r>
    </w:p>
    <w:p w14:paraId="49D5CE8D" w14:textId="77777777" w:rsidR="0048524B" w:rsidRDefault="0048524B" w:rsidP="00AC7DBF">
      <w:pPr>
        <w:rPr>
          <w:noProof/>
        </w:rPr>
      </w:pPr>
      <w:r>
        <w:rPr>
          <w:noProof/>
        </w:rPr>
        <w:t>Thebes is a city that had been in the shadows of Athens and Sparta for much of ancient Greek history. After the battle of Leuctra in 371 BCE, Thebes was able to gain a short-lived hegemony in Greece but also saw the Sacred Band of Thebes, an erotic military troop – consisting 150 older lovers and another 150-younger beloved – become one Greece’s elite military unit.</w:t>
      </w:r>
    </w:p>
    <w:p w14:paraId="2A61DE2D" w14:textId="77777777" w:rsidR="0048524B" w:rsidRDefault="0048524B" w:rsidP="00AC7DBF">
      <w:pPr>
        <w:rPr>
          <w:noProof/>
        </w:rPr>
      </w:pPr>
      <w:r>
        <w:rPr>
          <w:noProof/>
        </w:rPr>
        <w:t>Writers such as Xenophon have written of the events the Sacred Band partook in while other writers such as Plutarch talks of their formation and composition. There are also many contemporary writers that explore the Sacred Band or their involvement in certain battles. These writers and their biases will be explored.</w:t>
      </w:r>
    </w:p>
    <w:p w14:paraId="07952DDB" w14:textId="77777777" w:rsidR="0048524B" w:rsidRDefault="0048524B" w:rsidP="00AC7DBF">
      <w:pPr>
        <w:rPr>
          <w:noProof/>
        </w:rPr>
      </w:pPr>
      <w:r>
        <w:rPr>
          <w:noProof/>
        </w:rPr>
        <w:t>What shall be looked will be the composition of the Sacred Band, especially in comparison to units such as the Spartan Hippeis while also looking in detail at the battles they partook in, like Leuctra and Chaeronea. The generals and leaders (such as Epaminondas) of Thebes and the tactics and strategies they employed will be explored. It would also be worth talking about the LGBT+ aspects that were in the Sacred Band, especially when considering the masculine image of soldiers throughout history. These can then indicate the unit’s contributions to Thebes and their stamp in classical Greek history.</w:t>
      </w:r>
    </w:p>
    <w:p w14:paraId="010CE54E" w14:textId="77777777" w:rsidR="0048524B" w:rsidRDefault="0048524B">
      <w:r>
        <w:rPr>
          <w:noProof/>
        </w:rPr>
        <w:lastRenderedPageBreak/>
        <w:t>What my research ultimately attempts to do is see why the Sacred Band has not been in the same limelight as their Spartan or Athenian counterparts and what their culture was as a military unit and as lovers. More importantly, finding out what can be learned from the Sacred Band is also an aim.</w:t>
      </w:r>
    </w:p>
    <w:p w14:paraId="66C5A465" w14:textId="77777777" w:rsidR="0048524B" w:rsidRDefault="0048524B"/>
    <w:p w14:paraId="4740A656" w14:textId="79C1FDE6" w:rsidR="0048524B" w:rsidRDefault="0048524B">
      <w:r w:rsidRPr="002E1C1E">
        <w:rPr>
          <w:b/>
          <w:noProof/>
        </w:rPr>
        <w:t>Jameson</w:t>
      </w:r>
      <w:r w:rsidRPr="008357DE">
        <w:rPr>
          <w:b/>
        </w:rPr>
        <w:t xml:space="preserve"> </w:t>
      </w:r>
      <w:r w:rsidRPr="002E1C1E">
        <w:rPr>
          <w:b/>
          <w:noProof/>
        </w:rPr>
        <w:t>Minto</w:t>
      </w:r>
      <w:r w:rsidRPr="008357DE">
        <w:rPr>
          <w:b/>
        </w:rPr>
        <w:t xml:space="preserve"> </w:t>
      </w:r>
      <w:r>
        <w:rPr>
          <w:b/>
        </w:rPr>
        <w:t xml:space="preserve"> </w:t>
      </w:r>
      <w:r w:rsidRPr="008357DE">
        <w:t>(</w:t>
      </w:r>
      <w:r>
        <w:rPr>
          <w:noProof/>
        </w:rPr>
        <w:t>University of Warwick</w:t>
      </w:r>
      <w:r w:rsidR="002F3D6F">
        <w:t>)</w:t>
      </w:r>
    </w:p>
    <w:p w14:paraId="163A08E9" w14:textId="77777777" w:rsidR="0048524B" w:rsidRDefault="0048524B">
      <w:pPr>
        <w:rPr>
          <w:i/>
        </w:rPr>
      </w:pPr>
      <w:r w:rsidRPr="002E1C1E">
        <w:rPr>
          <w:i/>
          <w:noProof/>
        </w:rPr>
        <w:t>Looking Death in the Face: Funerary art and society in Roman Chester</w:t>
      </w:r>
    </w:p>
    <w:p w14:paraId="4B749A0D" w14:textId="77777777" w:rsidR="0048524B" w:rsidRDefault="0048524B" w:rsidP="00AC7DBF">
      <w:pPr>
        <w:rPr>
          <w:noProof/>
        </w:rPr>
      </w:pPr>
      <w:r>
        <w:rPr>
          <w:noProof/>
        </w:rPr>
        <w:t>The Roman fortress of Deva (modern Chester) was the largest fortress in Britain. It is located on the banks of the River Dee (from which it is named) and functioned as an important port in the northwest of Britain. The Grosvenor Museum in Chester holds the largest collection of Roman funerary art in the UK, and this collection will form the sample of my research.</w:t>
      </w:r>
    </w:p>
    <w:p w14:paraId="5346C288" w14:textId="77777777" w:rsidR="0048524B" w:rsidRDefault="0048524B" w:rsidP="00AC7DBF">
      <w:pPr>
        <w:rPr>
          <w:noProof/>
        </w:rPr>
      </w:pPr>
      <w:r>
        <w:rPr>
          <w:noProof/>
        </w:rPr>
        <w:t>Over 450 Roman tombstones survive, so this research project will focus on just one location (Chester) and will look through the lens of ethnicity, sex and freedom, since Rome and its provinces were a slave-owning society. This is the first aim of the research. Revaluating archaeological evidence is an important part of the process of research, and interest in the everyday lives of ancient people is currently at the centre of archaeological research.</w:t>
      </w:r>
    </w:p>
    <w:p w14:paraId="5CA1C521" w14:textId="77777777" w:rsidR="0048524B" w:rsidRDefault="0048524B" w:rsidP="00AC7DBF">
      <w:pPr>
        <w:rPr>
          <w:noProof/>
        </w:rPr>
      </w:pPr>
      <w:r>
        <w:rPr>
          <w:noProof/>
        </w:rPr>
        <w:t>In addition to this, the second aim is considering ways the internet can assist in learning, and how hard it can be to do so. I will be using Twitter and a blog to record the research process in a way that is accessible and informative to both an academic and general audience.</w:t>
      </w:r>
    </w:p>
    <w:p w14:paraId="45146824" w14:textId="77777777" w:rsidR="0048524B" w:rsidRDefault="0048524B">
      <w:r>
        <w:rPr>
          <w:noProof/>
        </w:rPr>
        <w:t>Recently, this type of research into the diversity of Ancient Britain has raised controversy, especially online (Beard, 2017). The third aim comes out of the first, looking at how Britain views its past and the extent funerary evidence may assist in understanding the population of Roman Britain.</w:t>
      </w:r>
    </w:p>
    <w:p w14:paraId="3AEC0F29" w14:textId="77777777" w:rsidR="0048524B" w:rsidRDefault="0048524B"/>
    <w:p w14:paraId="1C38F812" w14:textId="77777777" w:rsidR="002F3D6F" w:rsidRDefault="002F3D6F">
      <w:pPr>
        <w:rPr>
          <w:b/>
          <w:noProof/>
        </w:rPr>
      </w:pPr>
      <w:r>
        <w:rPr>
          <w:b/>
          <w:noProof/>
        </w:rPr>
        <w:br w:type="page"/>
      </w:r>
    </w:p>
    <w:p w14:paraId="79068C56" w14:textId="27635119" w:rsidR="002F3D6F" w:rsidRDefault="002F3D6F" w:rsidP="002F3D6F">
      <w:pPr>
        <w:pStyle w:val="Heading1"/>
      </w:pPr>
      <w:r>
        <w:lastRenderedPageBreak/>
        <w:t xml:space="preserve">Panel 9A: </w:t>
      </w:r>
      <w:r w:rsidRPr="002F3D6F">
        <w:t>War, Economics and Culture</w:t>
      </w:r>
    </w:p>
    <w:p w14:paraId="282AF5F7" w14:textId="77777777" w:rsidR="002F3D6F" w:rsidRPr="002F3D6F" w:rsidRDefault="002F3D6F" w:rsidP="002F3D6F"/>
    <w:p w14:paraId="0D0E68D2" w14:textId="48343B22" w:rsidR="0048524B" w:rsidRDefault="0048524B">
      <w:r w:rsidRPr="002E1C1E">
        <w:rPr>
          <w:b/>
          <w:noProof/>
        </w:rPr>
        <w:t>Sven</w:t>
      </w:r>
      <w:r w:rsidRPr="008357DE">
        <w:rPr>
          <w:b/>
        </w:rPr>
        <w:t xml:space="preserve"> </w:t>
      </w:r>
      <w:r w:rsidRPr="002E1C1E">
        <w:rPr>
          <w:b/>
          <w:noProof/>
        </w:rPr>
        <w:t>Botha</w:t>
      </w:r>
      <w:r w:rsidRPr="008357DE">
        <w:rPr>
          <w:b/>
        </w:rPr>
        <w:t xml:space="preserve"> </w:t>
      </w:r>
      <w:r>
        <w:rPr>
          <w:b/>
        </w:rPr>
        <w:t xml:space="preserve"> </w:t>
      </w:r>
      <w:r w:rsidRPr="008357DE">
        <w:t>(</w:t>
      </w:r>
      <w:r>
        <w:rPr>
          <w:noProof/>
        </w:rPr>
        <w:t>Monash University South Africa</w:t>
      </w:r>
      <w:r w:rsidR="00A90A82">
        <w:t>)</w:t>
      </w:r>
    </w:p>
    <w:p w14:paraId="7CD7FA5B" w14:textId="77777777" w:rsidR="0048524B" w:rsidRDefault="0048524B">
      <w:pPr>
        <w:rPr>
          <w:i/>
        </w:rPr>
      </w:pPr>
      <w:r w:rsidRPr="002E1C1E">
        <w:rPr>
          <w:i/>
          <w:noProof/>
        </w:rPr>
        <w:t>The Failure of Counter-Terrorism in Africa: Is Africa ready for soft power?</w:t>
      </w:r>
    </w:p>
    <w:p w14:paraId="04AC6C80" w14:textId="77777777" w:rsidR="0048524B" w:rsidRDefault="0048524B">
      <w:r>
        <w:rPr>
          <w:noProof/>
        </w:rPr>
        <w:t>During the 30th Summit of the African Union (AU) in January 2018, the AU Peace and Security Council urged AU member states to adopt softer approaches to their counter-terrorism strategies. This call could not have come a better time since terrorist activity in Africa increased by 200 per cent between 2009 and 2015. The purpose of this paper is two-fold. Firstly, it aims to offer a brief explanation as to why counter-terrorism has failed in Africa. Secondly, an assessment of Africa’s top 16 contributors to global terrorism, as determined by the Global Terrorism Index 2017, will be undertaken using a combination of qualitative and desktop research methods whereby each contributor (state) is assessed in accordance with their compliance to deradicalisation, demilitarisation, resocialisation, religion education and youth initiative programmes. The assessment suggests that Africa is not yet ready for soft power, particularly given the lack of resocialisation and religion education programmes made available by states. As such, six key challenges have been identified along with possible remedies to solve them. Embracing soft power is a bold move for Africa, but it is one that is necessary. African governments would do well to keep an eye on the challenges discussed in this paper and monitor their current compliance to ensure the sustainability of their mechanisms. However, such developments are subject to political will, which is often subject to debate and destiny.</w:t>
      </w:r>
    </w:p>
    <w:p w14:paraId="65CB0C4A" w14:textId="77777777" w:rsidR="0048524B" w:rsidRDefault="0048524B"/>
    <w:p w14:paraId="39A37004" w14:textId="62720B50" w:rsidR="0048524B" w:rsidRDefault="0048524B">
      <w:r w:rsidRPr="002E1C1E">
        <w:rPr>
          <w:b/>
          <w:noProof/>
        </w:rPr>
        <w:t>Shelby</w:t>
      </w:r>
      <w:r w:rsidRPr="008357DE">
        <w:rPr>
          <w:b/>
        </w:rPr>
        <w:t xml:space="preserve"> </w:t>
      </w:r>
      <w:r w:rsidRPr="002E1C1E">
        <w:rPr>
          <w:b/>
          <w:noProof/>
        </w:rPr>
        <w:t>Esterhuizen</w:t>
      </w:r>
      <w:r w:rsidRPr="008357DE">
        <w:rPr>
          <w:b/>
        </w:rPr>
        <w:t xml:space="preserve"> </w:t>
      </w:r>
      <w:r>
        <w:rPr>
          <w:b/>
        </w:rPr>
        <w:t xml:space="preserve"> </w:t>
      </w:r>
      <w:r w:rsidRPr="008357DE">
        <w:t>(</w:t>
      </w:r>
      <w:r>
        <w:rPr>
          <w:noProof/>
        </w:rPr>
        <w:t>Monash University South Africa</w:t>
      </w:r>
      <w:r w:rsidR="00A90A82">
        <w:t>)</w:t>
      </w:r>
    </w:p>
    <w:p w14:paraId="4E0D09F7" w14:textId="77777777" w:rsidR="0048524B" w:rsidRDefault="0048524B">
      <w:pPr>
        <w:rPr>
          <w:i/>
        </w:rPr>
      </w:pPr>
      <w:r w:rsidRPr="002E1C1E">
        <w:rPr>
          <w:i/>
          <w:noProof/>
        </w:rPr>
        <w:t>How Technology in the Business World has Enhanced the Efficiency and Effectiveness of the Accounting Process</w:t>
      </w:r>
    </w:p>
    <w:p w14:paraId="654431A1" w14:textId="77777777" w:rsidR="0048524B" w:rsidRDefault="0048524B" w:rsidP="00AC7DBF">
      <w:pPr>
        <w:rPr>
          <w:noProof/>
        </w:rPr>
      </w:pPr>
      <w:r>
        <w:rPr>
          <w:noProof/>
        </w:rPr>
        <w:t>This paper summarises how technological advances have influenced how accountants do their business. It considers how the new generation of accountants can use accounting software to become more efficient, through working with quick and easy software, as well as effective, by working with software that is more accurate, in their area of business. An example of accounting software that makes accounting easier is Sage’s Pastel. Such software allows the accounting process to become less complicated while increasing the accuracy of the information processed. It essentially automates the accountant’s job of capturing and updating data, producing reports and doing bank reconciliations. Accounting software allows accountants to have all that data and information readily available at the touch of a button.</w:t>
      </w:r>
    </w:p>
    <w:p w14:paraId="0430D2B8" w14:textId="77777777" w:rsidR="0048524B" w:rsidRDefault="0048524B">
      <w:r>
        <w:rPr>
          <w:noProof/>
        </w:rPr>
        <w:t>A series of questions has been set to be answered by a total of 20 participants, and research using articles and academic journals is being conducted, through which a conclusion can be drawn. The findings are currently inconclusive as the questionnaires and research were not complete; however, an expected outcome should be in favour of using accounting software in the business world. It was found in many journals and articles that technology has vastly affected the way in which accounting is being done in business. This research project should make people aware of the positive outcomes of using accounting software in businesses and managers should implement this software for accountants to use.</w:t>
      </w:r>
    </w:p>
    <w:p w14:paraId="60109F87" w14:textId="77777777" w:rsidR="0048524B" w:rsidRDefault="0048524B"/>
    <w:p w14:paraId="78C4F134" w14:textId="581B3423" w:rsidR="0048524B" w:rsidRDefault="0048524B">
      <w:r w:rsidRPr="002E1C1E">
        <w:rPr>
          <w:b/>
          <w:noProof/>
        </w:rPr>
        <w:lastRenderedPageBreak/>
        <w:t>Mehar</w:t>
      </w:r>
      <w:r w:rsidRPr="008357DE">
        <w:rPr>
          <w:b/>
        </w:rPr>
        <w:t xml:space="preserve"> </w:t>
      </w:r>
      <w:r w:rsidRPr="002E1C1E">
        <w:rPr>
          <w:b/>
          <w:noProof/>
        </w:rPr>
        <w:t>Chhabra</w:t>
      </w:r>
      <w:r w:rsidRPr="008357DE">
        <w:rPr>
          <w:b/>
        </w:rPr>
        <w:t xml:space="preserve"> </w:t>
      </w:r>
      <w:r>
        <w:rPr>
          <w:b/>
        </w:rPr>
        <w:t xml:space="preserve"> </w:t>
      </w:r>
      <w:r w:rsidRPr="008357DE">
        <w:t>(</w:t>
      </w:r>
      <w:r>
        <w:rPr>
          <w:noProof/>
        </w:rPr>
        <w:t>University of Leeds</w:t>
      </w:r>
      <w:r w:rsidR="00A90A82">
        <w:t>)</w:t>
      </w:r>
    </w:p>
    <w:p w14:paraId="36665F10" w14:textId="77777777" w:rsidR="0048524B" w:rsidRDefault="0048524B">
      <w:pPr>
        <w:rPr>
          <w:i/>
        </w:rPr>
      </w:pPr>
      <w:r w:rsidRPr="002E1C1E">
        <w:rPr>
          <w:i/>
          <w:noProof/>
        </w:rPr>
        <w:t>Exploring Consumer Perceptions: Impact of culture and economic development</w:t>
      </w:r>
    </w:p>
    <w:p w14:paraId="1059B65E" w14:textId="77777777" w:rsidR="0048524B" w:rsidRDefault="0048524B" w:rsidP="00AC7DBF">
      <w:pPr>
        <w:rPr>
          <w:noProof/>
        </w:rPr>
      </w:pPr>
      <w:r>
        <w:rPr>
          <w:noProof/>
        </w:rPr>
        <w:t>This research investigates the concept of consumer perceptions in relation to marketing communications and their exposure towards various forms of stimulus present in consumer environments. With the proliferation of MNCs, international marketers are to produce marketing strategies acceptable by consumers from multi-cultural environments to achieve economies of scale in expenditures. This requires an understanding of different forms of stimulus and their influential powers to get intentional customer responses.</w:t>
      </w:r>
    </w:p>
    <w:p w14:paraId="5CB5E78C" w14:textId="77777777" w:rsidR="0048524B" w:rsidRDefault="0048524B">
      <w:r>
        <w:rPr>
          <w:noProof/>
        </w:rPr>
        <w:t>This research tries to comprehend the impact of culture on consumer perceptions towards advertisements. It identifies the differences and similarities in consumer perceptions towards fashion advertisements among ‘individualistic’ and ‘collectivistic’ cultural societies. Additionally, it distinguishes the influence of these characteristics amid industrialised and emerging markets. Focus groups were conducted with participants representing five regions – Southern Africa, China, Hong Kong, UK and Greece, categorised under collectivistic and individualistic cultures and further subjugated under developed and developing economies. Valuable insights were gained of how consumers from diverse environments perceive and are influenced by advertisements. The empirical findings show that culture has a direct impact on consumer perceptions, whereas economic development holds an indirect impact on the same. It was also found that there are crucial differences in persuasive appeals that are favoured among collectivistic and individualistic societies. However, the effect of these differences is moderated by the level of economic development of the country. Such findings provide useful insights for international marketers, organisations and other practitioners by accentuating the critical importance of acquiring an understanding of such connections and adapting their features in the information transferred through their marketing communication platforms.</w:t>
      </w:r>
    </w:p>
    <w:p w14:paraId="4980D6ED" w14:textId="77777777" w:rsidR="0048524B" w:rsidRDefault="0048524B"/>
    <w:p w14:paraId="6EC21F9B" w14:textId="310FCDB9" w:rsidR="0048524B" w:rsidRDefault="0048524B">
      <w:r w:rsidRPr="002E1C1E">
        <w:rPr>
          <w:b/>
          <w:noProof/>
        </w:rPr>
        <w:t>Kevin</w:t>
      </w:r>
      <w:r w:rsidRPr="008357DE">
        <w:rPr>
          <w:b/>
        </w:rPr>
        <w:t xml:space="preserve"> </w:t>
      </w:r>
      <w:r w:rsidRPr="002E1C1E">
        <w:rPr>
          <w:b/>
          <w:noProof/>
        </w:rPr>
        <w:t>Shaabi</w:t>
      </w:r>
      <w:r w:rsidRPr="008357DE">
        <w:rPr>
          <w:b/>
        </w:rPr>
        <w:t xml:space="preserve"> </w:t>
      </w:r>
      <w:r>
        <w:rPr>
          <w:b/>
        </w:rPr>
        <w:t xml:space="preserve"> </w:t>
      </w:r>
      <w:r w:rsidRPr="008357DE">
        <w:t>(</w:t>
      </w:r>
      <w:r>
        <w:rPr>
          <w:noProof/>
        </w:rPr>
        <w:t>University of Warwick</w:t>
      </w:r>
      <w:r w:rsidR="00A90A82">
        <w:t>)</w:t>
      </w:r>
    </w:p>
    <w:p w14:paraId="28437186" w14:textId="77777777" w:rsidR="0048524B" w:rsidRDefault="0048524B">
      <w:pPr>
        <w:rPr>
          <w:i/>
        </w:rPr>
      </w:pPr>
      <w:r w:rsidRPr="002E1C1E">
        <w:rPr>
          <w:i/>
          <w:noProof/>
        </w:rPr>
        <w:t>Reconciling Dollarisation with Monetary Policy Effectiveness in a Resource-Dependent Economy: The case of Ecuador</w:t>
      </w:r>
    </w:p>
    <w:p w14:paraId="3E66F107" w14:textId="77777777" w:rsidR="0048524B" w:rsidRDefault="0048524B" w:rsidP="00AC7DBF">
      <w:pPr>
        <w:rPr>
          <w:noProof/>
        </w:rPr>
      </w:pPr>
      <w:r>
        <w:rPr>
          <w:noProof/>
        </w:rPr>
        <w:t>The aim of the project is to investigate whether current monetary policy, constrained by dollarisation, worsens or reduces the impact of resource dependence on Ecuador’s economic stability. By looking at the consequences of exchange rate rigidity and other contingent peculiarities on three key determinants of macroeconomic stability – GDP growth, unemployment and inflation – we attempt to uncover the scale of the effects of the limitations imposed on monetary policy as a consequence of dollarisation. Importantly, this will include a brief discussion of the effects of dollarisation on the intensity of oil extraction and the environmental externalities thereby imposed onto a country whose constitution codifies the ‘Rights of Nature’ under its environmentalist philosophy, ‘Sumac Kawsay’.</w:t>
      </w:r>
    </w:p>
    <w:p w14:paraId="0E398119" w14:textId="77777777" w:rsidR="0048524B" w:rsidRDefault="0048524B">
      <w:r>
        <w:rPr>
          <w:noProof/>
        </w:rPr>
        <w:t>Ecuador is a particular case: it is dollarised, oil accounts for nearly half of its exports and it has experienced a downturn since the oil price drop in 2014, symptomatic of a ‘resource curse’ that destabilises long-term growth prospects. Past research has suggested that dollarisation significantly affects the contribution of resource-led industries to the Ecuadorian economy through pegged inflation, more developed lines of credit and policy credibility. We explore this hypothesis using econometric analysis and policy research.</w:t>
      </w:r>
    </w:p>
    <w:p w14:paraId="3F9330D0" w14:textId="1E231F48" w:rsidR="0048524B" w:rsidRDefault="0048524B">
      <w:r w:rsidRPr="002E1C1E">
        <w:rPr>
          <w:b/>
          <w:noProof/>
        </w:rPr>
        <w:lastRenderedPageBreak/>
        <w:t>Lanaire</w:t>
      </w:r>
      <w:r w:rsidRPr="008357DE">
        <w:rPr>
          <w:b/>
        </w:rPr>
        <w:t xml:space="preserve"> </w:t>
      </w:r>
      <w:r w:rsidRPr="002E1C1E">
        <w:rPr>
          <w:b/>
          <w:noProof/>
        </w:rPr>
        <w:t>Aderemi</w:t>
      </w:r>
      <w:r w:rsidRPr="008357DE">
        <w:rPr>
          <w:b/>
        </w:rPr>
        <w:t xml:space="preserve"> </w:t>
      </w:r>
      <w:r>
        <w:rPr>
          <w:b/>
        </w:rPr>
        <w:t xml:space="preserve"> </w:t>
      </w:r>
      <w:r w:rsidRPr="008357DE">
        <w:t>(</w:t>
      </w:r>
      <w:r>
        <w:rPr>
          <w:noProof/>
        </w:rPr>
        <w:t>University of Warwick</w:t>
      </w:r>
      <w:r w:rsidR="00A90A82">
        <w:t>)</w:t>
      </w:r>
    </w:p>
    <w:p w14:paraId="0CC461A0" w14:textId="77777777" w:rsidR="0048524B" w:rsidRDefault="0048524B">
      <w:pPr>
        <w:rPr>
          <w:i/>
        </w:rPr>
      </w:pPr>
      <w:r w:rsidRPr="002E1C1E">
        <w:rPr>
          <w:i/>
          <w:noProof/>
        </w:rPr>
        <w:t>The Biafran War: The politics of remembering, (mis)remembering and forgetting</w:t>
      </w:r>
    </w:p>
    <w:p w14:paraId="64E1E43B" w14:textId="77777777" w:rsidR="0048524B" w:rsidRDefault="0048524B">
      <w:r>
        <w:rPr>
          <w:noProof/>
        </w:rPr>
        <w:t>The Biafran War was a genocidal war that occurred between 1967 and 1970 as a result of political, economic and ethnic tensions that arose in Nigeria as well as the divide-and-rule strategy employed by the British, which engendered this conflict. Using the ontological position and critical realist stance that memories of wars such as the Biafran War are under constant internal influence (personal memories) and external influence (arts, literature, media), I argue that the memory of war and the (mis)remembering and forgetting of war is inherently political. Through qualitative research methods such as content analysis of research articles, I argue that there is a gap in research literature, such as the absence of women’s experiences in the Biafran War, which contributes to the (mis)remembering and forgetting of histories. To conceptualise the history of the genocidal war, I highlight how memories of war are also social and personal. By using visual research methods to explore the politics of trauma in art and photography, I am able to better interpret these personal and social experiences of the Biafran War. Through close analysis of interview responses, oral narratives about the Biafran War and thematic readings of literature, I can further examine the effects such gaps in research literature have on the fabric of post-colonial Nigeria. Such findings demonstrate the impact of silence in shaping the post-colonial landscape of Nigeria as well as the epistemic violence that arises as a result of this mis(remembering) and forgetting.</w:t>
      </w:r>
    </w:p>
    <w:p w14:paraId="48FD929C" w14:textId="77777777" w:rsidR="0048524B" w:rsidRDefault="0048524B"/>
    <w:p w14:paraId="7B20A70E" w14:textId="77777777" w:rsidR="00A90A82" w:rsidRDefault="00A90A82">
      <w:pPr>
        <w:rPr>
          <w:b/>
          <w:noProof/>
        </w:rPr>
      </w:pPr>
      <w:r>
        <w:rPr>
          <w:b/>
          <w:noProof/>
        </w:rPr>
        <w:br w:type="page"/>
      </w:r>
    </w:p>
    <w:p w14:paraId="0EEA549D" w14:textId="35E998BD" w:rsidR="00A90A82" w:rsidRDefault="00A90A82" w:rsidP="004064D2">
      <w:pPr>
        <w:pStyle w:val="Heading1"/>
      </w:pPr>
      <w:r w:rsidRPr="004064D2">
        <w:lastRenderedPageBreak/>
        <w:t xml:space="preserve">Panel 9B: </w:t>
      </w:r>
      <w:r w:rsidR="004064D2" w:rsidRPr="004064D2">
        <w:t>Systems of the Future</w:t>
      </w:r>
    </w:p>
    <w:p w14:paraId="5D956DCA" w14:textId="77777777" w:rsidR="004064D2" w:rsidRPr="004064D2" w:rsidRDefault="004064D2" w:rsidP="004064D2"/>
    <w:p w14:paraId="42EE4915" w14:textId="00EE3FD2" w:rsidR="0048524B" w:rsidRDefault="0048524B">
      <w:r w:rsidRPr="002E1C1E">
        <w:rPr>
          <w:b/>
          <w:noProof/>
        </w:rPr>
        <w:t>Kiara</w:t>
      </w:r>
      <w:r w:rsidRPr="008357DE">
        <w:rPr>
          <w:b/>
        </w:rPr>
        <w:t xml:space="preserve"> </w:t>
      </w:r>
      <w:r w:rsidRPr="002E1C1E">
        <w:rPr>
          <w:b/>
          <w:noProof/>
        </w:rPr>
        <w:t>Marmolejos</w:t>
      </w:r>
      <w:r w:rsidRPr="008357DE">
        <w:rPr>
          <w:b/>
        </w:rPr>
        <w:t xml:space="preserve"> </w:t>
      </w:r>
      <w:r>
        <w:rPr>
          <w:b/>
        </w:rPr>
        <w:t xml:space="preserve"> </w:t>
      </w:r>
      <w:r w:rsidRPr="008357DE">
        <w:t>(</w:t>
      </w:r>
      <w:r>
        <w:rPr>
          <w:noProof/>
        </w:rPr>
        <w:t>Baruch College, CUNY</w:t>
      </w:r>
      <w:r w:rsidR="004064D2">
        <w:t>)</w:t>
      </w:r>
    </w:p>
    <w:p w14:paraId="4A767F5F" w14:textId="77777777" w:rsidR="0048524B" w:rsidRDefault="0048524B">
      <w:pPr>
        <w:rPr>
          <w:i/>
        </w:rPr>
      </w:pPr>
      <w:r w:rsidRPr="002E1C1E">
        <w:rPr>
          <w:i/>
          <w:noProof/>
        </w:rPr>
        <w:t>Mitigation of Eutrophication at Soundview Park/Bronx River</w:t>
      </w:r>
    </w:p>
    <w:p w14:paraId="3F014A0F" w14:textId="77777777" w:rsidR="0048524B" w:rsidRDefault="0048524B">
      <w:r>
        <w:rPr>
          <w:noProof/>
        </w:rPr>
        <w:t>The purpose of this study was to quantify the number of oysters needed to mitigate at least half of the nutrient load in the Bronx River. Eutrophication is a global ecological issue caused by the overflow of excess nutrients such as phosphorous or nitrogen into estuaries due to storm runoff and sewage overflows. This excess of nutrients leads to harmful algal blooms that cut off sunlight and oxygen supply to the marine ecosystem thus creating dead zones in many bodies of water. New York City used to be a hotspot for oysters, and bioremediation using this native bivalve is currently being employed all along the Hudson River thanks to the Billion Oyster Project. This study aims to quantify the effect of oysters at a very specific site in the Bronx surrounded by multiple wastewater treatment plants which are significant sources of nutrient input. Oysters are able to intake nitrogen and store nutrients in the tissues and shell. Oyster harvests represent the most direct method of nitrogen removal from the system. The study focuses on this simple method of nutrient remediation due to its directly quantifiable variables and aims to find the best month throughout a six-month period for harvest with respect to oyster morphometrics. Additionally, other practical uses for the harvested oysters from the Bronx River were proposed in order to evaluate a cost–benefit analysis for a large-scale management project. Oyster remediation must be paired with other waste management practices in order to restore the marine ecosystem.</w:t>
      </w:r>
    </w:p>
    <w:p w14:paraId="2F830687" w14:textId="77777777" w:rsidR="0048524B" w:rsidRDefault="0048524B"/>
    <w:p w14:paraId="509E4428" w14:textId="28A32CF5" w:rsidR="0048524B" w:rsidRDefault="0048524B">
      <w:r w:rsidRPr="002E1C1E">
        <w:rPr>
          <w:b/>
          <w:noProof/>
        </w:rPr>
        <w:t>Alex</w:t>
      </w:r>
      <w:r w:rsidRPr="008357DE">
        <w:rPr>
          <w:b/>
        </w:rPr>
        <w:t xml:space="preserve"> </w:t>
      </w:r>
      <w:r w:rsidRPr="002E1C1E">
        <w:rPr>
          <w:b/>
          <w:noProof/>
        </w:rPr>
        <w:t>St John</w:t>
      </w:r>
      <w:r w:rsidRPr="008357DE">
        <w:rPr>
          <w:b/>
        </w:rPr>
        <w:t xml:space="preserve"> </w:t>
      </w:r>
      <w:r>
        <w:rPr>
          <w:b/>
        </w:rPr>
        <w:t xml:space="preserve"> </w:t>
      </w:r>
      <w:r w:rsidRPr="008357DE">
        <w:t>(</w:t>
      </w:r>
      <w:r>
        <w:rPr>
          <w:noProof/>
        </w:rPr>
        <w:t>University of Leeds</w:t>
      </w:r>
      <w:r w:rsidR="004064D2">
        <w:t>)</w:t>
      </w:r>
    </w:p>
    <w:p w14:paraId="62A98793" w14:textId="77777777" w:rsidR="0048524B" w:rsidRDefault="0048524B">
      <w:pPr>
        <w:rPr>
          <w:i/>
        </w:rPr>
      </w:pPr>
      <w:r w:rsidRPr="002E1C1E">
        <w:rPr>
          <w:i/>
          <w:noProof/>
        </w:rPr>
        <w:t>Exploring Computationally Based Rational Methods to Increase the Stability of the Artificial Antibody Scaffold Adhiron</w:t>
      </w:r>
    </w:p>
    <w:p w14:paraId="1CC2F276" w14:textId="77777777" w:rsidR="0048524B" w:rsidRDefault="0048524B">
      <w:r>
        <w:rPr>
          <w:noProof/>
        </w:rPr>
        <w:t>Protein engineering is a new and exciting discipline, estimated to reach a market value of USD 3.09 billion by 2025. Traditionally proteins are engineered by using directed evolution, which simulates natural evolution in the laboratory by selecting for protein mutations from a random library to obtain a protein with desirable properties. Thanks to advancements in computational power during the last few decades, rational approaches are beginning to be developed in order to identify mutations in a more targeted and efficient approach. This project explores such methods to find stabilising mutations in the artificial antibody scaffold Adhiron in order to improve its shelf life, expression yield and performance in vivo. We took the evolutionary data of proteins related to Adhiron in order to determine which mutations evolution tends to select for. We found that there is a correlation between the stabilising contribution of each amino acid and the frequency at which it is observed in nature, implying that our method can be used as a quick and easy way to engineer proteins that will perform better and last longer.</w:t>
      </w:r>
    </w:p>
    <w:p w14:paraId="7DDC6D75" w14:textId="77777777" w:rsidR="0048524B" w:rsidRDefault="0048524B"/>
    <w:p w14:paraId="0BE636E2" w14:textId="77777777" w:rsidR="004064D2" w:rsidRDefault="004064D2">
      <w:pPr>
        <w:rPr>
          <w:b/>
          <w:noProof/>
        </w:rPr>
      </w:pPr>
      <w:r>
        <w:rPr>
          <w:b/>
          <w:noProof/>
        </w:rPr>
        <w:br w:type="page"/>
      </w:r>
    </w:p>
    <w:p w14:paraId="0C60247B" w14:textId="24E1F7A5" w:rsidR="0048524B" w:rsidRDefault="0048524B">
      <w:r w:rsidRPr="002E1C1E">
        <w:rPr>
          <w:b/>
          <w:noProof/>
        </w:rPr>
        <w:lastRenderedPageBreak/>
        <w:t>Imogen</w:t>
      </w:r>
      <w:r w:rsidRPr="008357DE">
        <w:rPr>
          <w:b/>
        </w:rPr>
        <w:t xml:space="preserve"> </w:t>
      </w:r>
      <w:r w:rsidRPr="002E1C1E">
        <w:rPr>
          <w:b/>
          <w:noProof/>
        </w:rPr>
        <w:t>Fitt</w:t>
      </w:r>
      <w:r w:rsidRPr="008357DE">
        <w:rPr>
          <w:b/>
        </w:rPr>
        <w:t xml:space="preserve"> </w:t>
      </w:r>
      <w:r>
        <w:rPr>
          <w:b/>
        </w:rPr>
        <w:t xml:space="preserve"> </w:t>
      </w:r>
      <w:r w:rsidRPr="008357DE">
        <w:t>(</w:t>
      </w:r>
      <w:r>
        <w:rPr>
          <w:noProof/>
        </w:rPr>
        <w:t>University of Warwick</w:t>
      </w:r>
      <w:r w:rsidR="004064D2">
        <w:t>)</w:t>
      </w:r>
    </w:p>
    <w:p w14:paraId="5F6449A4" w14:textId="77777777" w:rsidR="0048524B" w:rsidRDefault="0048524B">
      <w:pPr>
        <w:rPr>
          <w:i/>
        </w:rPr>
      </w:pPr>
      <w:r w:rsidRPr="002E1C1E">
        <w:rPr>
          <w:i/>
          <w:noProof/>
        </w:rPr>
        <w:t>Farmers: Time to Grow Up! A study on the contribution of Vertical Farming towards achieving global food security</w:t>
      </w:r>
    </w:p>
    <w:p w14:paraId="2569F2F2" w14:textId="77777777" w:rsidR="0048524B" w:rsidRDefault="0048524B">
      <w:r>
        <w:rPr>
          <w:noProof/>
        </w:rPr>
        <w:t>With growing populations and decreasing land availability, farmers face mounting challenges to meet food supplies by 2050 – which is the year the UN aims to eliminate world hunger by. An innovative solution to these issues currently attracting attention and support is vertical farming. In these systems, food is grown in multi-layered artificial structures in urban environments under controlled environment conditions. Vertical farming has been criticised because of its dependence on artificial light for production and the consequential high-energy demands and financial costs involved. The feasibility of such production systems has recently been enhanced by developments in lighting systems through the use of energy efficient LED systems, and multiple vertical farms are beginning to pop up around the globe. My research thus aims to address qualitatively whether vertical farming will currently be able to contribute to the UN’s aim through critically examining each of the key obstacles to food security in the context of vertical farming. This will be done through an extended literature review on the subject, including everything from professional reports and markets analyses to ‘agritechture blogs’. My research will culminate in the design of my own vertical farm for use in Cape Town, by explaining how it will operate sustainably within an urban system using diagrams and real-life examples. This work examines vertical farming from a fresh perspective, offering a novel analysis of an already established problem with vertical farming as the solution.</w:t>
      </w:r>
    </w:p>
    <w:p w14:paraId="6C99E3A3" w14:textId="77777777" w:rsidR="0048524B" w:rsidRDefault="0048524B"/>
    <w:p w14:paraId="7B4C1CC8" w14:textId="77777777" w:rsidR="004064D2" w:rsidRDefault="004064D2">
      <w:pPr>
        <w:rPr>
          <w:b/>
          <w:noProof/>
        </w:rPr>
      </w:pPr>
      <w:r>
        <w:rPr>
          <w:b/>
          <w:noProof/>
        </w:rPr>
        <w:br w:type="page"/>
      </w:r>
    </w:p>
    <w:p w14:paraId="7B4AE5C6" w14:textId="358A423E" w:rsidR="0048524B" w:rsidRDefault="00F352A5" w:rsidP="00E37192">
      <w:pPr>
        <w:pStyle w:val="Heading1"/>
      </w:pPr>
      <w:r>
        <w:lastRenderedPageBreak/>
        <w:t xml:space="preserve">Panel 10A: </w:t>
      </w:r>
      <w:r w:rsidR="00E37192" w:rsidRPr="00E37192">
        <w:t>Cultures and International Development</w:t>
      </w:r>
    </w:p>
    <w:p w14:paraId="141C2389" w14:textId="77777777" w:rsidR="00E37192" w:rsidRPr="00E37192" w:rsidRDefault="00E37192" w:rsidP="00E37192"/>
    <w:p w14:paraId="035DCFA6" w14:textId="13B0975A" w:rsidR="0048524B" w:rsidRDefault="0048524B">
      <w:r w:rsidRPr="002E1C1E">
        <w:rPr>
          <w:b/>
          <w:noProof/>
        </w:rPr>
        <w:t>Olivia</w:t>
      </w:r>
      <w:r w:rsidRPr="008357DE">
        <w:rPr>
          <w:b/>
        </w:rPr>
        <w:t xml:space="preserve"> </w:t>
      </w:r>
      <w:r w:rsidRPr="002E1C1E">
        <w:rPr>
          <w:b/>
          <w:noProof/>
        </w:rPr>
        <w:t>Powell</w:t>
      </w:r>
      <w:r w:rsidRPr="008357DE">
        <w:rPr>
          <w:b/>
        </w:rPr>
        <w:t xml:space="preserve"> </w:t>
      </w:r>
      <w:r>
        <w:rPr>
          <w:b/>
        </w:rPr>
        <w:t xml:space="preserve"> </w:t>
      </w:r>
      <w:r w:rsidRPr="008357DE">
        <w:t>(</w:t>
      </w:r>
      <w:r>
        <w:rPr>
          <w:noProof/>
        </w:rPr>
        <w:t>University of Leeds</w:t>
      </w:r>
      <w:r w:rsidR="00E37192">
        <w:t>)</w:t>
      </w:r>
    </w:p>
    <w:p w14:paraId="40F3CA61" w14:textId="77777777" w:rsidR="0048524B" w:rsidRDefault="0048524B">
      <w:pPr>
        <w:rPr>
          <w:i/>
        </w:rPr>
      </w:pPr>
      <w:r w:rsidRPr="002E1C1E">
        <w:rPr>
          <w:i/>
          <w:noProof/>
        </w:rPr>
        <w:t>New Diplomacy or New Imperialism? Soviet activities in the Far East, 1917–1931</w:t>
      </w:r>
    </w:p>
    <w:p w14:paraId="63A7B21E" w14:textId="77777777" w:rsidR="0048524B" w:rsidRDefault="0048524B" w:rsidP="00AC7DBF">
      <w:pPr>
        <w:rPr>
          <w:noProof/>
        </w:rPr>
      </w:pPr>
      <w:r>
        <w:rPr>
          <w:noProof/>
        </w:rPr>
        <w:t>It is widely known that, during the twentieth century, the Soviet Union was a strong Communist superpower, supposedly founded upon egalitarian values. However, were these ethics adhered to or did the Bolshevik Government perpetuate the same imperialist policies they had overthrown? Current literature only partially answers these questions by examining either the Russian or Chinese perspective in isolation, restricting our understanding of early Far Eastern relations. This research collated and built upon the existing arguments by utilising contemporary documents to provide a fuller, more balanced, examination of Russo–Chinese relations, which has the potential to develop our understanding of current international relations.</w:t>
      </w:r>
    </w:p>
    <w:p w14:paraId="336922A8" w14:textId="77777777" w:rsidR="0048524B" w:rsidRDefault="0048524B" w:rsidP="00AC7DBF">
      <w:pPr>
        <w:rPr>
          <w:noProof/>
        </w:rPr>
      </w:pPr>
      <w:r>
        <w:rPr>
          <w:noProof/>
        </w:rPr>
        <w:t>This investigation utilised primary source material, such as the memoirs of key figures, foreign policy documents and political manifestos, to ascertain that the Soviets interest in China had imperial foundations. These documents revealed intimate details about the roles of Soviet diplomats and the incompatibility of China with Communism, despite the Bolsheviks public rhetoric.</w:t>
      </w:r>
    </w:p>
    <w:p w14:paraId="6363673D" w14:textId="77777777" w:rsidR="0048524B" w:rsidRDefault="0048524B" w:rsidP="00AC7DBF">
      <w:pPr>
        <w:rPr>
          <w:noProof/>
        </w:rPr>
      </w:pPr>
      <w:r>
        <w:rPr>
          <w:noProof/>
        </w:rPr>
        <w:t>Secondary source material was also consulted to examine the pervasiveness of Soviet imperialism in the Far East, specifically regarding Outer Mongolia, Manchuria and Japan. This revealed greater details about the Soviets’ differing levels of respect for both Far Eastern nations, and the differing nationalist elements within China.</w:t>
      </w:r>
    </w:p>
    <w:p w14:paraId="777C71B0" w14:textId="77777777" w:rsidR="0048524B" w:rsidRDefault="0048524B">
      <w:r>
        <w:rPr>
          <w:noProof/>
        </w:rPr>
        <w:t>This research found that the Soviet Union’s aims in the Far East were the consolidation of their power and protection of national interests, contrary to their public rhetoric of the need to stimulate international revolution. These findings will be expanded upon in the future through a close examination of China’s Communist journey under Mao and the development of Communism in Vietnam.</w:t>
      </w:r>
    </w:p>
    <w:p w14:paraId="7C2267AB" w14:textId="77777777" w:rsidR="0048524B" w:rsidRDefault="0048524B"/>
    <w:p w14:paraId="4EEFF957" w14:textId="56FA9015" w:rsidR="0048524B" w:rsidRDefault="0048524B">
      <w:r w:rsidRPr="002E1C1E">
        <w:rPr>
          <w:b/>
          <w:noProof/>
        </w:rPr>
        <w:t>Eartha</w:t>
      </w:r>
      <w:r w:rsidRPr="008357DE">
        <w:rPr>
          <w:b/>
        </w:rPr>
        <w:t xml:space="preserve"> </w:t>
      </w:r>
      <w:r w:rsidRPr="002E1C1E">
        <w:rPr>
          <w:b/>
          <w:noProof/>
        </w:rPr>
        <w:t>Heptinstall</w:t>
      </w:r>
      <w:r w:rsidRPr="008357DE">
        <w:rPr>
          <w:b/>
        </w:rPr>
        <w:t xml:space="preserve"> </w:t>
      </w:r>
      <w:r>
        <w:rPr>
          <w:b/>
        </w:rPr>
        <w:t xml:space="preserve"> </w:t>
      </w:r>
      <w:r w:rsidRPr="008357DE">
        <w:t>(</w:t>
      </w:r>
      <w:r>
        <w:rPr>
          <w:noProof/>
        </w:rPr>
        <w:t>University of Leeds</w:t>
      </w:r>
      <w:r w:rsidR="00E37192">
        <w:t>)</w:t>
      </w:r>
    </w:p>
    <w:p w14:paraId="673D5FEF" w14:textId="77777777" w:rsidR="0048524B" w:rsidRDefault="0048524B">
      <w:pPr>
        <w:rPr>
          <w:i/>
        </w:rPr>
      </w:pPr>
      <w:r w:rsidRPr="002E1C1E">
        <w:rPr>
          <w:i/>
          <w:noProof/>
        </w:rPr>
        <w:t>The British Criminal Justice System: An investigation into the absence of ‘race’, ‘Whiteness’ and ‘White privilege’ in training programmes for lawyers</w:t>
      </w:r>
    </w:p>
    <w:p w14:paraId="38965227" w14:textId="77777777" w:rsidR="0048524B" w:rsidRDefault="0048524B" w:rsidP="00AC7DBF">
      <w:pPr>
        <w:rPr>
          <w:noProof/>
        </w:rPr>
      </w:pPr>
      <w:r>
        <w:rPr>
          <w:noProof/>
        </w:rPr>
        <w:t>How adequate are lawyer training programmes in preparing White solicitors and barristers to successfully understand, engage with and represent their Black, Asian and Ethnic Minority (BAME) clients? This question was in response to the Lammy Review (2017), which highlighted the persistent and disproportionately negative outcomes experienced by BAME individuals within the criminal justice system (CJS).</w:t>
      </w:r>
    </w:p>
    <w:p w14:paraId="79DA8572" w14:textId="77777777" w:rsidR="0048524B" w:rsidRDefault="0048524B" w:rsidP="00AC7DBF">
      <w:pPr>
        <w:rPr>
          <w:noProof/>
        </w:rPr>
      </w:pPr>
      <w:r>
        <w:rPr>
          <w:noProof/>
        </w:rPr>
        <w:t>The project was framed by reviewing literature on ‘race’, ‘Whiteness’ and ‘White privilege’, examining statistics that reported racial disparities at each stage of the CJS, looking at diversity reports for the lawyering profession, and by reviewing the course content of the Legal Practice Course and the Bar Professional Training Course.</w:t>
      </w:r>
    </w:p>
    <w:p w14:paraId="4F3E5A1A" w14:textId="77777777" w:rsidR="0048524B" w:rsidRDefault="0048524B" w:rsidP="00AC7DBF">
      <w:pPr>
        <w:rPr>
          <w:noProof/>
        </w:rPr>
      </w:pPr>
      <w:r>
        <w:rPr>
          <w:noProof/>
        </w:rPr>
        <w:t xml:space="preserve">Through semi-structured interviews, participants displayed a disengaged awareness of their racialised identity; they relayed that their training was absent of any discussion on ‘race’, ‘Whiteness’ or ‘White privilege’ and the development of personable skills such as empathy; and that </w:t>
      </w:r>
      <w:r>
        <w:rPr>
          <w:noProof/>
        </w:rPr>
        <w:lastRenderedPageBreak/>
        <w:t>in situations that required any knowledge of this kind, it was their (White) life experience that informed their actions.</w:t>
      </w:r>
    </w:p>
    <w:p w14:paraId="261382AB" w14:textId="77777777" w:rsidR="0048524B" w:rsidRDefault="0048524B">
      <w:r>
        <w:rPr>
          <w:noProof/>
        </w:rPr>
        <w:t>In light of the above, a curriculum that incorporated discussions on ‘race’, ‘Whiteness’ and ‘White privilege’ and the development of personable skills such as empathy would have (at least) three identifiable benefits. It has the potential to increase awareness of the status and power the ‘White’ racialised identity holds in our racialised society, to de-centre the White perspective in the lawyer-client relationship and, in line with the Lammy Review (2017) that shaped this work, to work towards more positive outcomes for BAME individuals in the CJS.</w:t>
      </w:r>
    </w:p>
    <w:p w14:paraId="5588B130" w14:textId="77777777" w:rsidR="0048524B" w:rsidRDefault="0048524B"/>
    <w:p w14:paraId="78025AD2" w14:textId="0A2659FD" w:rsidR="0048524B" w:rsidRDefault="0048524B">
      <w:r w:rsidRPr="002E1C1E">
        <w:rPr>
          <w:b/>
          <w:noProof/>
        </w:rPr>
        <w:t>Najma A</w:t>
      </w:r>
      <w:r w:rsidRPr="008357DE">
        <w:rPr>
          <w:b/>
        </w:rPr>
        <w:t xml:space="preserve"> </w:t>
      </w:r>
      <w:r w:rsidRPr="002E1C1E">
        <w:rPr>
          <w:b/>
          <w:noProof/>
        </w:rPr>
        <w:t>Ahmad</w:t>
      </w:r>
      <w:r w:rsidRPr="008357DE">
        <w:rPr>
          <w:b/>
        </w:rPr>
        <w:t xml:space="preserve"> </w:t>
      </w:r>
      <w:r>
        <w:rPr>
          <w:b/>
        </w:rPr>
        <w:t xml:space="preserve"> </w:t>
      </w:r>
      <w:r w:rsidRPr="008357DE">
        <w:t>(</w:t>
      </w:r>
      <w:r>
        <w:rPr>
          <w:noProof/>
        </w:rPr>
        <w:t>University of Warwick</w:t>
      </w:r>
      <w:r w:rsidR="00E37192">
        <w:t>)</w:t>
      </w:r>
    </w:p>
    <w:p w14:paraId="0D632912" w14:textId="77777777" w:rsidR="0048524B" w:rsidRDefault="0048524B">
      <w:pPr>
        <w:rPr>
          <w:i/>
        </w:rPr>
      </w:pPr>
      <w:r w:rsidRPr="002E1C1E">
        <w:rPr>
          <w:i/>
          <w:noProof/>
        </w:rPr>
        <w:t>Using Gender Quotas to Meet Sustainable Development Goal 5, Gender Inequality: A case study analysis of India, Rwanda and Norway</w:t>
      </w:r>
    </w:p>
    <w:p w14:paraId="302B57E7" w14:textId="77777777" w:rsidR="0048524B" w:rsidRDefault="0048524B" w:rsidP="00AC7DBF">
      <w:pPr>
        <w:rPr>
          <w:noProof/>
        </w:rPr>
      </w:pPr>
      <w:r>
        <w:rPr>
          <w:noProof/>
        </w:rPr>
        <w:t>Sustainable Development Goal (SDG) number 5 on gender inequality arose because of the recognition that women are still subject to gender-based violence, own less than 20 per cent of the world’s land, are isolated from decision making in politics and business, receive less pay for the same work and make up the majority of the world’s poor. This need for a developmental policy that is gender aware has encouraged the use of gender quotas in more than a hundred countries. This paper draws on both qualitative and quantitative research to examine whether quotas could help achieve SDG5 by looking at case studies of three countries – India, Rwanda and Norway – to cross-examine the effectiveness of quotas at different levels of development as well across two different sectors in government and business. India and Rwanda provided important case studies on the use of quotas in developing countries where the needs of girls and women are focused more on improving the equitable allocation of resources in health and education as well as the prohibition of gender-based violence.</w:t>
      </w:r>
    </w:p>
    <w:p w14:paraId="09D813E2" w14:textId="77777777" w:rsidR="0048524B" w:rsidRDefault="0048524B">
      <w:r>
        <w:rPr>
          <w:noProof/>
        </w:rPr>
        <w:t>In comparison, Norway provided a good example of developed countries, which exhibit equality in access to health and education, and often have a significant participation of women in government, but where women’s decision making in business remains low. Quotas were found to be successful in improving the descriptive representation of women – the number of women elected – but only in the developing countries of India and Rwanda, and in the sector of government, were quotas effective in improving the substantive representation of women – for example, bringing about changes in legislation or shifts in policy towards women’s needs. Quotas were ineffective in business and in the developed country of Norway where elected women representatives (EWR) were more hesitant to ‘beat the feminist drum’ for fear of not being taken seriously as business women. Whether it is the business environment or the attitudes of women in business that constrain EWR’s ability to improve women’s situation is an area for further research.</w:t>
      </w:r>
    </w:p>
    <w:p w14:paraId="417F8C35" w14:textId="77777777" w:rsidR="0048524B" w:rsidRDefault="0048524B"/>
    <w:p w14:paraId="5532B58E" w14:textId="2FB744F7" w:rsidR="0048524B" w:rsidRDefault="0048524B">
      <w:r w:rsidRPr="002E1C1E">
        <w:rPr>
          <w:b/>
          <w:noProof/>
        </w:rPr>
        <w:t>Anna</w:t>
      </w:r>
      <w:r w:rsidRPr="008357DE">
        <w:rPr>
          <w:b/>
        </w:rPr>
        <w:t xml:space="preserve"> </w:t>
      </w:r>
      <w:r w:rsidRPr="002E1C1E">
        <w:rPr>
          <w:b/>
          <w:noProof/>
        </w:rPr>
        <w:t>Kindleysides</w:t>
      </w:r>
      <w:r w:rsidRPr="008357DE">
        <w:rPr>
          <w:b/>
        </w:rPr>
        <w:t xml:space="preserve"> </w:t>
      </w:r>
      <w:r>
        <w:rPr>
          <w:b/>
        </w:rPr>
        <w:t xml:space="preserve"> </w:t>
      </w:r>
      <w:r w:rsidRPr="008357DE">
        <w:t>(</w:t>
      </w:r>
      <w:r>
        <w:rPr>
          <w:noProof/>
        </w:rPr>
        <w:t>University of Warwick</w:t>
      </w:r>
      <w:r w:rsidR="00E37192">
        <w:t>)</w:t>
      </w:r>
    </w:p>
    <w:p w14:paraId="156BDC6F" w14:textId="77777777" w:rsidR="0048524B" w:rsidRDefault="0048524B">
      <w:pPr>
        <w:rPr>
          <w:i/>
        </w:rPr>
      </w:pPr>
      <w:r w:rsidRPr="002E1C1E">
        <w:rPr>
          <w:i/>
          <w:noProof/>
        </w:rPr>
        <w:t>Blinded by the Light: The Moscow Metro and the political use of prestige projects</w:t>
      </w:r>
    </w:p>
    <w:p w14:paraId="65F44B9D" w14:textId="77777777" w:rsidR="0048524B" w:rsidRDefault="0048524B" w:rsidP="00AC7DBF">
      <w:pPr>
        <w:rPr>
          <w:noProof/>
        </w:rPr>
      </w:pPr>
      <w:r>
        <w:rPr>
          <w:noProof/>
        </w:rPr>
        <w:t xml:space="preserve">The Moscow Metro was portrayed as a way to improve the lives of Moscow workers but, in contrast, served the underlying political function of masking their suffering. This dramatic contrast offers an illustrative case study to examine the contemporary use of prestige projects in international politics. Such projects claim their aim is to improve quality of life for the people; however, my research </w:t>
      </w:r>
      <w:r>
        <w:rPr>
          <w:noProof/>
        </w:rPr>
        <w:lastRenderedPageBreak/>
        <w:t>questions whether these government commissions fulfil an underlying ulterior function in addition to the supposed function of improving the lives of the public.</w:t>
      </w:r>
    </w:p>
    <w:p w14:paraId="6805B633" w14:textId="77777777" w:rsidR="0048524B" w:rsidRDefault="0048524B" w:rsidP="00AC7DBF">
      <w:pPr>
        <w:rPr>
          <w:noProof/>
        </w:rPr>
      </w:pPr>
      <w:r>
        <w:rPr>
          <w:noProof/>
        </w:rPr>
        <w:t>To see how the Metro was portrayed, I examined contemporary letters between British socialists and the English language media clippings I found in the Modern Record Centre archives. In comparing the narrative depicted to historical accounts and urban development studies, the gap between the claimed benefits and the reality was demonstrated. By investigating these discrepancies in the Metro, as well as considering other case studies, I explore how governments use prestige projects to mask the more complicated issues in society such as affordable housing, effective transport and high unemployment rates. These issues seem obscured by the tactical use of such projects to broadcast a glorified version of their nation rather than fully addressing the problems society is experiencing.</w:t>
      </w:r>
    </w:p>
    <w:p w14:paraId="3E2BBF82" w14:textId="77777777" w:rsidR="0048524B" w:rsidRDefault="0048524B">
      <w:r>
        <w:rPr>
          <w:noProof/>
        </w:rPr>
        <w:t>Previous studies of prestige projects have approached them from a predominantly economic standpoint. Patrick Loftman and Brendan Nevin (1995) state that the main motive behind governments commissioning prestige projects are business prospects and attracting people from outside the locality; however, my research shows this is often not the case. This highlights how the reasons behind commissioning prestige projects are too complex to look at from a single perspective, such as economics. Therefore, my research suggests taking an interdisciplinary approach to gain a deeper understanding of this subject.</w:t>
      </w:r>
    </w:p>
    <w:p w14:paraId="2F5EB72B" w14:textId="77777777" w:rsidR="0048524B" w:rsidRDefault="0048524B"/>
    <w:p w14:paraId="600D0367" w14:textId="77777777" w:rsidR="00E37192" w:rsidRDefault="00E37192">
      <w:pPr>
        <w:rPr>
          <w:b/>
          <w:noProof/>
        </w:rPr>
      </w:pPr>
      <w:r>
        <w:rPr>
          <w:b/>
          <w:noProof/>
        </w:rPr>
        <w:br w:type="page"/>
      </w:r>
    </w:p>
    <w:p w14:paraId="6D4AAB7C" w14:textId="768369DA" w:rsidR="00E37192" w:rsidRDefault="00E37192" w:rsidP="00121515">
      <w:pPr>
        <w:pStyle w:val="Heading1"/>
      </w:pPr>
      <w:r>
        <w:lastRenderedPageBreak/>
        <w:t xml:space="preserve">Panel 10B: </w:t>
      </w:r>
      <w:r w:rsidR="00121515" w:rsidRPr="00121515">
        <w:t>Stress, Sleep and Cells</w:t>
      </w:r>
    </w:p>
    <w:p w14:paraId="2A80B87F" w14:textId="77777777" w:rsidR="00121515" w:rsidRPr="00121515" w:rsidRDefault="00121515" w:rsidP="00121515"/>
    <w:p w14:paraId="5FA5B766" w14:textId="5F2F87D6" w:rsidR="0048524B" w:rsidRDefault="0048524B">
      <w:r w:rsidRPr="002E1C1E">
        <w:rPr>
          <w:b/>
          <w:noProof/>
        </w:rPr>
        <w:t>Brian</w:t>
      </w:r>
      <w:r w:rsidRPr="008357DE">
        <w:rPr>
          <w:b/>
        </w:rPr>
        <w:t xml:space="preserve"> </w:t>
      </w:r>
      <w:r w:rsidRPr="002E1C1E">
        <w:rPr>
          <w:b/>
          <w:noProof/>
        </w:rPr>
        <w:t>Tang</w:t>
      </w:r>
      <w:r w:rsidRPr="008357DE">
        <w:rPr>
          <w:b/>
        </w:rPr>
        <w:t xml:space="preserve"> </w:t>
      </w:r>
      <w:r>
        <w:rPr>
          <w:b/>
        </w:rPr>
        <w:t xml:space="preserve"> </w:t>
      </w:r>
      <w:r w:rsidRPr="008357DE">
        <w:t>(</w:t>
      </w:r>
      <w:r>
        <w:rPr>
          <w:noProof/>
        </w:rPr>
        <w:t>Baruch College, CUNY</w:t>
      </w:r>
      <w:r w:rsidR="00121515">
        <w:t>)</w:t>
      </w:r>
    </w:p>
    <w:p w14:paraId="7379A888" w14:textId="77777777" w:rsidR="0048524B" w:rsidRDefault="0048524B">
      <w:pPr>
        <w:rPr>
          <w:i/>
        </w:rPr>
      </w:pPr>
      <w:r w:rsidRPr="002E1C1E">
        <w:rPr>
          <w:i/>
          <w:noProof/>
        </w:rPr>
        <w:t>Genetic Basis of Larval Crystal Cell Quantity Variation in the Drosophila Genetic Reference Panel</w:t>
      </w:r>
    </w:p>
    <w:p w14:paraId="1D435980" w14:textId="77777777" w:rsidR="0048524B" w:rsidRDefault="0048524B">
      <w:r>
        <w:rPr>
          <w:noProof/>
        </w:rPr>
        <w:t>Crystal cells (CCs) are one of three haemocytes found within the innate immune system of Drosophila melanogaster (common fruit flies). Similar to immune cells within humans, CCs take part in fighting infection and wound healing. The genes involved in the development of CCs is only beginning to be discovered. To address this, we performed a Genome-Wide Association Study (GWAS) on larval CC numbers from 78 isolines of the Drosophila Genetic Reference Panel (DGRP) collection. DGRP consists of naturally caught fruit flies that are inbred and have their genomes fully sequenced. By placing the wandering third instar larvae under heat shock, it was visibly possible to score the number of melanised CCs throughout the larvae. We discovered that the average number of CCs in each DGRP line (10 larvae per line) varied, ranging from 0 to 730. The average of all CCs counted (all DGRP lines collectively) was 220. The GWAS of DGRP crystal cell data found 128 polymorphisms (p&lt;10-5) that may be associated with differences in CC numbers between the isolines. From the 128, we chose to test 10 genes (with small p-values) mapped to the polymorphisms. However, overexpression was done for four of ten genes. Overexpressing three of four genes led to altered CC numbers. Thus, we found three new genes (domino, extra-extra and hemese) involved in CC development. As flies have many similar genes to that of humans, understanding the function of new candidate genes in CC production may provide insight into human genes that cause an immune-system imbalance.</w:t>
      </w:r>
    </w:p>
    <w:p w14:paraId="3BCD5326" w14:textId="77777777" w:rsidR="0048524B" w:rsidRDefault="0048524B"/>
    <w:p w14:paraId="4EFBB5DD" w14:textId="34AB1D43" w:rsidR="0048524B" w:rsidRDefault="0048524B">
      <w:r w:rsidRPr="002E1C1E">
        <w:rPr>
          <w:b/>
          <w:noProof/>
        </w:rPr>
        <w:t>Illya</w:t>
      </w:r>
      <w:r w:rsidRPr="008357DE">
        <w:rPr>
          <w:b/>
        </w:rPr>
        <w:t xml:space="preserve"> </w:t>
      </w:r>
      <w:r w:rsidRPr="002E1C1E">
        <w:rPr>
          <w:b/>
          <w:noProof/>
        </w:rPr>
        <w:t>Aronskyy</w:t>
      </w:r>
      <w:r w:rsidRPr="008357DE">
        <w:rPr>
          <w:b/>
        </w:rPr>
        <w:t xml:space="preserve"> </w:t>
      </w:r>
      <w:r>
        <w:rPr>
          <w:b/>
        </w:rPr>
        <w:t xml:space="preserve"> </w:t>
      </w:r>
      <w:r w:rsidRPr="008357DE">
        <w:t>(</w:t>
      </w:r>
      <w:r>
        <w:rPr>
          <w:noProof/>
        </w:rPr>
        <w:t>Baruch College, CUNY</w:t>
      </w:r>
      <w:r w:rsidR="00121515">
        <w:t>)</w:t>
      </w:r>
    </w:p>
    <w:p w14:paraId="297CD00E" w14:textId="77777777" w:rsidR="0048524B" w:rsidRDefault="0048524B">
      <w:pPr>
        <w:rPr>
          <w:i/>
        </w:rPr>
      </w:pPr>
      <w:r w:rsidRPr="002E1C1E">
        <w:rPr>
          <w:i/>
          <w:noProof/>
        </w:rPr>
        <w:t>Cytoskeletal Dynamics and Axonal Retraction as a Function of Reactive Oxygen Species Generation</w:t>
      </w:r>
    </w:p>
    <w:p w14:paraId="34466AB9" w14:textId="77777777" w:rsidR="0048524B" w:rsidRDefault="0048524B">
      <w:r>
        <w:rPr>
          <w:noProof/>
        </w:rPr>
        <w:t>Reactive Oxygen Species (ROS) play an essential role in many cellular regulatory mechanisms. Recent research implicates ROS in the regulation of cytoskeletal proteins found in projections from neuronal cells called neurites. Dysfunction in ROS regulatory pathways is correlated with a number of neurodegenerative diseases, including Amyotrophic Lateral Sclerosis. In this study, we examined the relationship between ROS and the cytoskeleton of neurites by comparing the cytoskeleton of healthy and ROS-modulated neurons. Tubulin and actin cytoskeletal proteins were fluorescently stained and imaged in healthy versus ROS mutant mouse motor neuronal cell lines. The ratio of neurites to neurons was quantified upon imaging: a ratio of 0.694 was found in the healthy cell line; a ratio of 0.023 was found in ROS mutant cell line. To replicate this result under exogenous conditions, a healthy motor neuronal cell line was tagged with a fluorescent dye sensitive to mitochondrial membrane potential and transfused with increasing concentrations of hydrogen peroxide. An increase in fluorescence was observed in the soma, but interestingly, no effect was observed in the neuronal projections. This result indicates a location sensitive regulation of mitochondrial function inside the neuron.</w:t>
      </w:r>
    </w:p>
    <w:p w14:paraId="0C79198C" w14:textId="77777777" w:rsidR="0048524B" w:rsidRDefault="0048524B"/>
    <w:p w14:paraId="5EDDADB6" w14:textId="77777777" w:rsidR="00121515" w:rsidRDefault="00121515">
      <w:pPr>
        <w:rPr>
          <w:b/>
          <w:noProof/>
        </w:rPr>
      </w:pPr>
      <w:r>
        <w:rPr>
          <w:b/>
          <w:noProof/>
        </w:rPr>
        <w:br w:type="page"/>
      </w:r>
    </w:p>
    <w:p w14:paraId="1CD5B746" w14:textId="32BEDAD3" w:rsidR="0048524B" w:rsidRDefault="0048524B">
      <w:r w:rsidRPr="002E1C1E">
        <w:rPr>
          <w:b/>
          <w:noProof/>
        </w:rPr>
        <w:lastRenderedPageBreak/>
        <w:t>Maxwell</w:t>
      </w:r>
      <w:r w:rsidRPr="008357DE">
        <w:rPr>
          <w:b/>
        </w:rPr>
        <w:t xml:space="preserve"> </w:t>
      </w:r>
      <w:r w:rsidRPr="002E1C1E">
        <w:rPr>
          <w:b/>
          <w:noProof/>
        </w:rPr>
        <w:t>Renna</w:t>
      </w:r>
      <w:r w:rsidRPr="008357DE">
        <w:rPr>
          <w:b/>
        </w:rPr>
        <w:t xml:space="preserve"> </w:t>
      </w:r>
      <w:r>
        <w:rPr>
          <w:b/>
        </w:rPr>
        <w:t xml:space="preserve"> </w:t>
      </w:r>
      <w:r w:rsidRPr="008357DE">
        <w:t>(</w:t>
      </w:r>
      <w:r>
        <w:rPr>
          <w:noProof/>
        </w:rPr>
        <w:t>University of Warwick</w:t>
      </w:r>
      <w:r w:rsidR="00121515">
        <w:t>)</w:t>
      </w:r>
    </w:p>
    <w:p w14:paraId="4DE4C0BC" w14:textId="77777777" w:rsidR="0048524B" w:rsidRDefault="0048524B">
      <w:pPr>
        <w:rPr>
          <w:i/>
        </w:rPr>
      </w:pPr>
      <w:r w:rsidRPr="002E1C1E">
        <w:rPr>
          <w:i/>
          <w:noProof/>
        </w:rPr>
        <w:t>A Comparison of Different Investigations Used in Determining the Treatment of Airway Narrowing/Closure During Sleep</w:t>
      </w:r>
    </w:p>
    <w:p w14:paraId="5BC2D100" w14:textId="77777777" w:rsidR="0048524B" w:rsidRDefault="0048524B" w:rsidP="00AC7DBF">
      <w:pPr>
        <w:rPr>
          <w:noProof/>
        </w:rPr>
      </w:pPr>
      <w:r>
        <w:rPr>
          <w:noProof/>
        </w:rPr>
        <w:t>Introduction: Obstructive Sleep Apnoea/Hypopnoea Syndrome is characterised by recurrent narrowing and/or closing of the airways during sleep and commonly related to snoring. It affects around 5 per cent of the global population and is associated with other conditions such as heart failure and high blood pressure. Continuous Positive Airway Pressure (CPAP) is an effective treatment but suffers from low levels of adherence. CPAP usage requires behavioural change, and so initiation techniques are important. This project assesses CPAP usage, a year after initiation, when patients were introduced to therapy via inpatient respiratory studies (RESP), outpatient auto-titration studies (APAP) or in combination.</w:t>
      </w:r>
    </w:p>
    <w:p w14:paraId="5BD8CBA2" w14:textId="77777777" w:rsidR="0048524B" w:rsidRDefault="0048524B" w:rsidP="00AC7DBF">
      <w:pPr>
        <w:rPr>
          <w:noProof/>
        </w:rPr>
      </w:pPr>
      <w:r>
        <w:rPr>
          <w:noProof/>
        </w:rPr>
        <w:t>Methods: A retrospective review of 98 CPAP patients’ usage and demographic data was performed. The results were statistically analysed using ANOVA, chi-squared and Kruskal-Wallace testing. Behaviour change was explored via the transtheoretical model.</w:t>
      </w:r>
    </w:p>
    <w:p w14:paraId="2708EF81" w14:textId="77777777" w:rsidR="0048524B" w:rsidRDefault="0048524B" w:rsidP="00AC7DBF">
      <w:pPr>
        <w:rPr>
          <w:noProof/>
        </w:rPr>
      </w:pPr>
      <w:r>
        <w:rPr>
          <w:noProof/>
        </w:rPr>
        <w:t>Results: The findings showed clinically significant differences, but no statistically significant difference, in usage. Combining techniques improved yearly usage by 365 hours but mean weight increased. The APAP pathway saved £0.57 per hour of usage and reduced the time taken to start treatment by 60 days.</w:t>
      </w:r>
    </w:p>
    <w:p w14:paraId="1CD8DFB0" w14:textId="77777777" w:rsidR="0048524B" w:rsidRDefault="0048524B">
      <w:r>
        <w:rPr>
          <w:noProof/>
        </w:rPr>
        <w:t>Conclusions: The results indicate initiation techniques with greater levels of interaction with healthcare professionals are beneficial. Additionally, the implementation of psychometric testing during consultation could also lead to enhanced usage. Significant weight gain across all groups poses the moral question around CPAP provision before weight loss attempts. This study identifies further areas for research, including the effectiveness of weight loss campaigns, further analysis of behaviour changes and a five-year follow-up study.</w:t>
      </w:r>
    </w:p>
    <w:p w14:paraId="470A22C7" w14:textId="77777777" w:rsidR="0048524B" w:rsidRDefault="0048524B"/>
    <w:p w14:paraId="6AE4FCD7" w14:textId="4A978B11" w:rsidR="0048524B" w:rsidRDefault="0048524B">
      <w:r w:rsidRPr="002E1C1E">
        <w:rPr>
          <w:b/>
          <w:noProof/>
        </w:rPr>
        <w:t>Natalie</w:t>
      </w:r>
      <w:r w:rsidRPr="008357DE">
        <w:rPr>
          <w:b/>
        </w:rPr>
        <w:t xml:space="preserve"> </w:t>
      </w:r>
      <w:r w:rsidRPr="002E1C1E">
        <w:rPr>
          <w:b/>
          <w:noProof/>
        </w:rPr>
        <w:t>Steer</w:t>
      </w:r>
      <w:r w:rsidRPr="008357DE">
        <w:rPr>
          <w:b/>
        </w:rPr>
        <w:t xml:space="preserve"> </w:t>
      </w:r>
      <w:r>
        <w:rPr>
          <w:b/>
        </w:rPr>
        <w:t xml:space="preserve"> </w:t>
      </w:r>
      <w:r w:rsidRPr="008357DE">
        <w:t>(</w:t>
      </w:r>
      <w:r>
        <w:rPr>
          <w:noProof/>
        </w:rPr>
        <w:t>University of Warwick</w:t>
      </w:r>
      <w:r w:rsidR="00121515">
        <w:t>)</w:t>
      </w:r>
    </w:p>
    <w:p w14:paraId="6DC4A80F" w14:textId="77777777" w:rsidR="0048524B" w:rsidRDefault="0048524B">
      <w:pPr>
        <w:rPr>
          <w:i/>
        </w:rPr>
      </w:pPr>
      <w:r w:rsidRPr="002E1C1E">
        <w:rPr>
          <w:i/>
          <w:noProof/>
        </w:rPr>
        <w:t>Does Coping Efficacy Mediate the Relationship between Emotional Intelligence and Stress?</w:t>
      </w:r>
    </w:p>
    <w:p w14:paraId="2C702D47" w14:textId="77777777" w:rsidR="0048524B" w:rsidRDefault="0048524B">
      <w:r>
        <w:rPr>
          <w:noProof/>
        </w:rPr>
        <w:t xml:space="preserve">The relationship between emotional intelligence (EI) and stress has recently received widespread attention. Previous research suggests EI enables us to find better coping strategies to deal with stress, suggesting coping efficacy (one’s confidence in using effective coping skills) may be a mediator in the EI–Stress relationship. This study investigated whether coping efficacy mediates the relationship between EI and stress, and how this differs in gender and year of study. A convenience sample (n=162) of university students completed three questionnaires on emotional intelligence (predictor variable), coping efficacy (mediating variable) and perceived stress (outcome variable). Correlations and partial correlations were used to investigate whether coping efficacy mediates the relationship between EI and stress and whether this differed for gender (male, female) and year of study (Year: 1, 2, 3, 4, postgraduate). EI had a significant positive correlation with coping efficacy and significant negative correlation with perceived stress (PS). Coping efficacy also had a significant negative correlation with PS. The relationship between EI and PS was significantly diminished when controlling for coping efficacy. The partial correlation was significant for females, and participants in Year 1, Year 2 and postgraduate studies, but not significant for males and participants in Years 3 and 4. Findings confirm coping efficacy partially mediates the relationship between EI and PS, suggesting coping ability plays a critical role in the EI–Stress relationship. As findings suggest higher EI leads to </w:t>
      </w:r>
      <w:r>
        <w:rPr>
          <w:noProof/>
        </w:rPr>
        <w:lastRenderedPageBreak/>
        <w:t>better coping and consequently lower stress levels, students could benefit from interventions designed to improve EI and teach adaptive coping skills, to reduce stress and improve wellbeing in higher education.</w:t>
      </w:r>
    </w:p>
    <w:p w14:paraId="6685D0EF" w14:textId="77777777" w:rsidR="0048524B" w:rsidRDefault="0048524B"/>
    <w:p w14:paraId="2894391B" w14:textId="77777777" w:rsidR="00121515" w:rsidRDefault="00121515">
      <w:pPr>
        <w:rPr>
          <w:b/>
          <w:noProof/>
        </w:rPr>
      </w:pPr>
      <w:r>
        <w:rPr>
          <w:b/>
          <w:noProof/>
        </w:rPr>
        <w:br w:type="page"/>
      </w:r>
    </w:p>
    <w:p w14:paraId="3EA95E6F" w14:textId="5C7EAF39" w:rsidR="00121515" w:rsidRDefault="00121515" w:rsidP="00600E2B">
      <w:pPr>
        <w:pStyle w:val="Heading1"/>
      </w:pPr>
      <w:r>
        <w:lastRenderedPageBreak/>
        <w:t xml:space="preserve">Panel 11A: </w:t>
      </w:r>
      <w:r w:rsidR="00600E2B" w:rsidRPr="00600E2B">
        <w:t>Healthcare and Natural Science</w:t>
      </w:r>
    </w:p>
    <w:p w14:paraId="031503D7" w14:textId="77777777" w:rsidR="00600E2B" w:rsidRPr="00600E2B" w:rsidRDefault="00600E2B" w:rsidP="00600E2B"/>
    <w:p w14:paraId="36AD605A" w14:textId="0782A714" w:rsidR="0048524B" w:rsidRDefault="0048524B">
      <w:r w:rsidRPr="002E1C1E">
        <w:rPr>
          <w:b/>
          <w:noProof/>
        </w:rPr>
        <w:t>Noah</w:t>
      </w:r>
      <w:r w:rsidRPr="008357DE">
        <w:rPr>
          <w:b/>
        </w:rPr>
        <w:t xml:space="preserve"> </w:t>
      </w:r>
      <w:r w:rsidRPr="002E1C1E">
        <w:rPr>
          <w:b/>
          <w:noProof/>
        </w:rPr>
        <w:t>Bloomberg</w:t>
      </w:r>
      <w:r w:rsidRPr="008357DE">
        <w:rPr>
          <w:b/>
        </w:rPr>
        <w:t xml:space="preserve"> </w:t>
      </w:r>
      <w:r>
        <w:rPr>
          <w:b/>
        </w:rPr>
        <w:t xml:space="preserve"> </w:t>
      </w:r>
      <w:r w:rsidRPr="008357DE">
        <w:t>(</w:t>
      </w:r>
      <w:r>
        <w:rPr>
          <w:noProof/>
        </w:rPr>
        <w:t>Baruch College, CUNY</w:t>
      </w:r>
      <w:r w:rsidR="00600E2B">
        <w:t>)</w:t>
      </w:r>
    </w:p>
    <w:p w14:paraId="34563C61" w14:textId="77777777" w:rsidR="0048524B" w:rsidRDefault="0048524B">
      <w:pPr>
        <w:rPr>
          <w:i/>
        </w:rPr>
      </w:pPr>
      <w:r w:rsidRPr="002E1C1E">
        <w:rPr>
          <w:i/>
          <w:noProof/>
        </w:rPr>
        <w:t>Japanese-American Medical Personnel: Heroes of the internment era</w:t>
      </w:r>
    </w:p>
    <w:p w14:paraId="6B572D5A" w14:textId="77777777" w:rsidR="0048524B" w:rsidRDefault="0048524B" w:rsidP="00AC7DBF">
      <w:pPr>
        <w:rPr>
          <w:noProof/>
        </w:rPr>
      </w:pPr>
      <w:r>
        <w:rPr>
          <w:noProof/>
        </w:rPr>
        <w:t>During the Japanese-American Internment, the United States actively and illegally robbed Japanese-Americans of their citizenship rights by forcibly relocating them into concentration camps. Indolent and stubborn, the War Relocation Authority (WRA) – the government agency responsible for care of the internees – neglected to provide adequate healthcare services in the internment camps. Crowded living quarters, awful food provisions and unhygienic environments, compounded with WRA neglect, should have resulted in health disasters. My research focuses on how the valiant and relentless efforts of detained Japanese-American doctors and nurses prevented such disasters in the ten WRA camps.</w:t>
      </w:r>
    </w:p>
    <w:p w14:paraId="0A73C6EA" w14:textId="77777777" w:rsidR="0048524B" w:rsidRDefault="0048524B" w:rsidP="00AC7DBF">
      <w:pPr>
        <w:rPr>
          <w:noProof/>
        </w:rPr>
      </w:pPr>
      <w:r>
        <w:rPr>
          <w:noProof/>
        </w:rPr>
        <w:t>Using oral histories and interviews of doctors and nurses who worked in WRA camps, I explored how Japanese-American physicians innovated, adapted and laboured to successfully run rudimentary camp hospitals with scarce resources and terrible working conditions. The incarcerated medical personnel devised and directed 24-hour universal healthcare systems within the camps. Persisting through every challenge, they performed complex surgeries, delivered babies and prevented disease epidemics.</w:t>
      </w:r>
    </w:p>
    <w:p w14:paraId="16A2C42B" w14:textId="77777777" w:rsidR="0048524B" w:rsidRDefault="0048524B">
      <w:r>
        <w:rPr>
          <w:noProof/>
        </w:rPr>
        <w:t>Additionally, I examined primary government documents and secondary sources related to the topic of healthcare in the WRA camps. My research provided me with a comprehensive narrative of how the professionalism, resilience and devotion of Japanese-American physicians and nurses resulted in successful treatment of fellow incarcerees in need of all types of medical attention. My findings reveal an additional human rights violation in the internment – failure to provide healthcare to detainees – and how the cultural resilience of Japanese-American physicians prevented life-threatening consequences of government neglect.</w:t>
      </w:r>
    </w:p>
    <w:p w14:paraId="7D4C7232" w14:textId="77777777" w:rsidR="0048524B" w:rsidRDefault="0048524B"/>
    <w:p w14:paraId="78C5DA6D" w14:textId="4E9D1BDE" w:rsidR="0048524B" w:rsidRDefault="0048524B">
      <w:r w:rsidRPr="002E1C1E">
        <w:rPr>
          <w:b/>
          <w:noProof/>
        </w:rPr>
        <w:t>Shinhye</w:t>
      </w:r>
      <w:r w:rsidRPr="008357DE">
        <w:rPr>
          <w:b/>
        </w:rPr>
        <w:t xml:space="preserve"> </w:t>
      </w:r>
      <w:r w:rsidRPr="002E1C1E">
        <w:rPr>
          <w:b/>
          <w:noProof/>
        </w:rPr>
        <w:t>Jeon</w:t>
      </w:r>
      <w:r w:rsidRPr="008357DE">
        <w:rPr>
          <w:b/>
        </w:rPr>
        <w:t xml:space="preserve"> </w:t>
      </w:r>
      <w:r>
        <w:rPr>
          <w:b/>
        </w:rPr>
        <w:t xml:space="preserve"> </w:t>
      </w:r>
      <w:r w:rsidRPr="008357DE">
        <w:t>(</w:t>
      </w:r>
      <w:r>
        <w:rPr>
          <w:noProof/>
        </w:rPr>
        <w:t>Baruch College, CUNY</w:t>
      </w:r>
      <w:r w:rsidR="00600E2B">
        <w:t>)</w:t>
      </w:r>
    </w:p>
    <w:p w14:paraId="595987F3" w14:textId="77777777" w:rsidR="0048524B" w:rsidRDefault="0048524B">
      <w:pPr>
        <w:rPr>
          <w:i/>
        </w:rPr>
      </w:pPr>
      <w:r w:rsidRPr="002E1C1E">
        <w:rPr>
          <w:i/>
          <w:noProof/>
        </w:rPr>
        <w:t>Free-Radical Emission From the Cellular Power Plant: Role of the novel protein Mgr2</w:t>
      </w:r>
    </w:p>
    <w:p w14:paraId="5AC154F6" w14:textId="77777777" w:rsidR="0048524B" w:rsidRDefault="0048524B">
      <w:r>
        <w:rPr>
          <w:noProof/>
        </w:rPr>
        <w:t xml:space="preserve">Power plants are facilities that generate electrical energy. In our bodies, mitochondria function as the cellular power plants by harvesting energy from foodstuffs and generating ATP molecules, which are the energy currency of our bodily functions. Like man-made power plants, mitochondria also emit toxic waste – in the form of free radicals. However, energy conversion would not be possible without the continuous import of proteins made in the cytosol. These imported proteins are necessary for the reactions that generate energy. The import machinery itself consists of a multi-protein complex, the Translocase of the Inner Membrane 23 (TIM23), that is present in organisms ranging from yeast to humans. Our work aims to determine the role of a newly discovered component of TIM23: the so-called Mgr2 sub-unit. Like other TIM23 sub-units, Mgr2 has amino acid repeats, called GXXXG motifs, whose depletion destabilises the TIM23 complex. Interestingly, the mammalian counterpart of Mgr2 is known to regulate the emission of free radicals from respiring mitochondria, specifically hydrogen peroxide. These findings lead to our hypothesis that a defect in Mgr2 causes abnormal free-radical emission from mitochondria during protein import. We will test this hypothesis by evaluating the role of Mgr2 in hydrogen peroxide emission from yeast </w:t>
      </w:r>
      <w:r>
        <w:rPr>
          <w:noProof/>
        </w:rPr>
        <w:lastRenderedPageBreak/>
        <w:t>mitochondria during protein import. Accumulation of free-radical damage and mitochondrial dysfunction are common denominators in several neurodegenerative diseases. Therefore, elucidating this question is important because it may inform therapeutic interventions to treat neurodegeneration.</w:t>
      </w:r>
    </w:p>
    <w:p w14:paraId="45E5397C" w14:textId="77777777" w:rsidR="0048524B" w:rsidRDefault="0048524B"/>
    <w:p w14:paraId="05DB14E7" w14:textId="2E082CCF" w:rsidR="0048524B" w:rsidRDefault="0048524B">
      <w:r w:rsidRPr="002E1C1E">
        <w:rPr>
          <w:b/>
          <w:noProof/>
        </w:rPr>
        <w:t>Hoiyi</w:t>
      </w:r>
      <w:r w:rsidRPr="008357DE">
        <w:rPr>
          <w:b/>
        </w:rPr>
        <w:t xml:space="preserve"> </w:t>
      </w:r>
      <w:r w:rsidRPr="002E1C1E">
        <w:rPr>
          <w:b/>
          <w:noProof/>
        </w:rPr>
        <w:t>Lau</w:t>
      </w:r>
      <w:r w:rsidRPr="008357DE">
        <w:rPr>
          <w:b/>
        </w:rPr>
        <w:t xml:space="preserve"> </w:t>
      </w:r>
      <w:r>
        <w:rPr>
          <w:b/>
        </w:rPr>
        <w:t xml:space="preserve"> </w:t>
      </w:r>
      <w:r w:rsidRPr="008357DE">
        <w:t>(</w:t>
      </w:r>
      <w:r>
        <w:rPr>
          <w:noProof/>
        </w:rPr>
        <w:t>Monash University Australia</w:t>
      </w:r>
      <w:r w:rsidR="00600E2B">
        <w:t>)</w:t>
      </w:r>
    </w:p>
    <w:p w14:paraId="40BDA701" w14:textId="77777777" w:rsidR="0048524B" w:rsidRDefault="0048524B">
      <w:pPr>
        <w:rPr>
          <w:i/>
        </w:rPr>
      </w:pPr>
      <w:r w:rsidRPr="002E1C1E">
        <w:rPr>
          <w:i/>
          <w:noProof/>
        </w:rPr>
        <w:t>Addressing Age Barriers and Personal Space Barriers in the Healthcare Setting</w:t>
      </w:r>
    </w:p>
    <w:p w14:paraId="46BC96F9" w14:textId="77777777" w:rsidR="0048524B" w:rsidRDefault="0048524B" w:rsidP="00AC7DBF">
      <w:pPr>
        <w:rPr>
          <w:noProof/>
        </w:rPr>
      </w:pPr>
      <w:r>
        <w:rPr>
          <w:noProof/>
        </w:rPr>
        <w:t>It has been observed in the Australian healthcare setting that there are many communication barriers between patients and healthcare professionals. Therapeutic communication is a professional and skilled technique that supports the recovery process of a patient. It requires training to develop. However, ineffective therapeutic communication is one of the leading causes of serious medical errors. Ineffective communication occurs when communication barriers are not identified and addressed.</w:t>
      </w:r>
    </w:p>
    <w:p w14:paraId="4BF89E7B" w14:textId="77777777" w:rsidR="0048524B" w:rsidRDefault="0048524B" w:rsidP="00AC7DBF">
      <w:pPr>
        <w:rPr>
          <w:noProof/>
        </w:rPr>
      </w:pPr>
      <w:r>
        <w:rPr>
          <w:noProof/>
        </w:rPr>
        <w:t>Pre-existing literature in the field of Western healthcare within eight years is used to identify communication barriers. Piaget’s theory of intellectual development and Récoché and Abu-Arab’s (2014) classification of personal space are used to explore how communication barriers impact on the communication process and result. This research also discusses the strategies for addressing communication barriers and how the target audience can apply those strategies on a daily basis.</w:t>
      </w:r>
    </w:p>
    <w:p w14:paraId="1BE4AE3A" w14:textId="77777777" w:rsidR="0048524B" w:rsidRDefault="0048524B">
      <w:r>
        <w:rPr>
          <w:noProof/>
        </w:rPr>
        <w:t>Age barriers and personal space barriers are identified, and some targeted strategies are explored and discussed. The awareness of how age and personal space impacts on communication is lacking. As the demand for health professionals continuously grows, it is important to maintain clear therapeutic communication between patients and healthcare professionals because it is one of the fundamental elements in maintaining patient safety.</w:t>
      </w:r>
    </w:p>
    <w:p w14:paraId="2EFC9CDF" w14:textId="77777777" w:rsidR="0048524B" w:rsidRDefault="0048524B"/>
    <w:p w14:paraId="2C1ADA86" w14:textId="7B91FC3C" w:rsidR="0048524B" w:rsidRDefault="0048524B">
      <w:r w:rsidRPr="002E1C1E">
        <w:rPr>
          <w:b/>
          <w:noProof/>
        </w:rPr>
        <w:t>Aidan</w:t>
      </w:r>
      <w:r w:rsidRPr="008357DE">
        <w:rPr>
          <w:b/>
        </w:rPr>
        <w:t xml:space="preserve"> </w:t>
      </w:r>
      <w:r w:rsidRPr="002E1C1E">
        <w:rPr>
          <w:b/>
          <w:noProof/>
        </w:rPr>
        <w:t>Ryall</w:t>
      </w:r>
      <w:r w:rsidRPr="008357DE">
        <w:rPr>
          <w:b/>
        </w:rPr>
        <w:t xml:space="preserve"> </w:t>
      </w:r>
      <w:r>
        <w:rPr>
          <w:b/>
        </w:rPr>
        <w:t xml:space="preserve"> </w:t>
      </w:r>
      <w:r w:rsidRPr="008357DE">
        <w:t>(</w:t>
      </w:r>
      <w:r>
        <w:rPr>
          <w:noProof/>
        </w:rPr>
        <w:t>Monash University Australia</w:t>
      </w:r>
      <w:r w:rsidR="00600E2B">
        <w:t>)</w:t>
      </w:r>
    </w:p>
    <w:p w14:paraId="1D3E1369" w14:textId="77777777" w:rsidR="0048524B" w:rsidRDefault="0048524B">
      <w:pPr>
        <w:rPr>
          <w:i/>
        </w:rPr>
      </w:pPr>
      <w:r w:rsidRPr="002E1C1E">
        <w:rPr>
          <w:i/>
          <w:noProof/>
        </w:rPr>
        <w:t>Our Nerve-Wrecked Australian Lasses: War trauma, psychiatry and eugenics, 1914–1939</w:t>
      </w:r>
    </w:p>
    <w:p w14:paraId="717B569E" w14:textId="77777777" w:rsidR="0048524B" w:rsidRDefault="0048524B">
      <w:r>
        <w:rPr>
          <w:noProof/>
        </w:rPr>
        <w:t xml:space="preserve">First coined in 1914, ‘shell shock’ has been cemented in the popular imagination as drastically challenging European conceptualisations of masculinity during and after the First World War. Despite being one of a huge cluster of terms used almost interchangeably to describe a wide variety of behaviours, and being among the least common designators for mentally ill Australian combatants, it is only recently that academic literature has begun to question the validity of this exclusively gender-based interpretation. I contend that, rather than being solely male-based, this crisis can be more accurately understood in terms of the social unacceptability of mental and physical disability. To do this, the scope of this crisis must be broadened to include concerns about race, class and degeneracy. Specifically, this presentation will examine the experiences of Australian Army Nurses who broke down during or following service in the First World War and the ways that they were diagnosed and pathologised, or not. The treatment of these women is a useful tool for understanding the different ways that psychopathology was constructed in Australian prior to the Second World War. I argue that, as white, middle class, working women, these nurses were situated uniquely across conflicting social mores. That their experiences of both recognition of the pathologies and of silencing and dismissal illuminate the ways that social expectations interact with and inform psychiatric constructions of normality. Additionally, the reluctance of these women to </w:t>
      </w:r>
      <w:r>
        <w:rPr>
          <w:noProof/>
        </w:rPr>
        <w:lastRenderedPageBreak/>
        <w:t>seek treatment or support, particularly financial or psychiatric, illustrates that the shame of disability was pervasive across genders.</w:t>
      </w:r>
    </w:p>
    <w:p w14:paraId="23B6E370" w14:textId="77777777" w:rsidR="0048524B" w:rsidRDefault="0048524B"/>
    <w:p w14:paraId="361B0B5D" w14:textId="77777777" w:rsidR="00600E2B" w:rsidRDefault="00600E2B">
      <w:pPr>
        <w:rPr>
          <w:b/>
          <w:noProof/>
        </w:rPr>
      </w:pPr>
      <w:r>
        <w:rPr>
          <w:b/>
          <w:noProof/>
        </w:rPr>
        <w:br w:type="page"/>
      </w:r>
    </w:p>
    <w:p w14:paraId="13082B35" w14:textId="62EB5C32" w:rsidR="00600E2B" w:rsidRDefault="00600E2B" w:rsidP="006E2A0F">
      <w:pPr>
        <w:pStyle w:val="Heading1"/>
      </w:pPr>
      <w:r>
        <w:lastRenderedPageBreak/>
        <w:t xml:space="preserve">Panel 11B: </w:t>
      </w:r>
      <w:r w:rsidR="006E2A0F" w:rsidRPr="006E2A0F">
        <w:t>Modern Perspectives on Historical Representations</w:t>
      </w:r>
    </w:p>
    <w:p w14:paraId="7A3CCDBE" w14:textId="77777777" w:rsidR="006E2A0F" w:rsidRPr="006E2A0F" w:rsidRDefault="006E2A0F" w:rsidP="006E2A0F"/>
    <w:p w14:paraId="3A3FF2DD" w14:textId="6DBFF471" w:rsidR="0048524B" w:rsidRDefault="0048524B">
      <w:r w:rsidRPr="002E1C1E">
        <w:rPr>
          <w:b/>
          <w:noProof/>
        </w:rPr>
        <w:t>Madeline</w:t>
      </w:r>
      <w:r w:rsidRPr="008357DE">
        <w:rPr>
          <w:b/>
        </w:rPr>
        <w:t xml:space="preserve"> </w:t>
      </w:r>
      <w:r w:rsidRPr="002E1C1E">
        <w:rPr>
          <w:b/>
          <w:noProof/>
        </w:rPr>
        <w:t>Hunt</w:t>
      </w:r>
      <w:r w:rsidRPr="008357DE">
        <w:rPr>
          <w:b/>
        </w:rPr>
        <w:t xml:space="preserve"> </w:t>
      </w:r>
      <w:r>
        <w:rPr>
          <w:b/>
        </w:rPr>
        <w:t xml:space="preserve"> </w:t>
      </w:r>
      <w:r w:rsidRPr="008357DE">
        <w:t>(</w:t>
      </w:r>
      <w:r>
        <w:rPr>
          <w:noProof/>
        </w:rPr>
        <w:t>Monash University Australia</w:t>
      </w:r>
      <w:r w:rsidR="006E2A0F">
        <w:t>)</w:t>
      </w:r>
    </w:p>
    <w:p w14:paraId="4254E472" w14:textId="77777777" w:rsidR="0048524B" w:rsidRDefault="0048524B">
      <w:pPr>
        <w:rPr>
          <w:i/>
        </w:rPr>
      </w:pPr>
      <w:r w:rsidRPr="002E1C1E">
        <w:rPr>
          <w:i/>
          <w:noProof/>
        </w:rPr>
        <w:t>The Carolingian Empire and the Wider World</w:t>
      </w:r>
    </w:p>
    <w:p w14:paraId="4DCCD34A" w14:textId="77777777" w:rsidR="0048524B" w:rsidRDefault="0048524B">
      <w:r>
        <w:rPr>
          <w:noProof/>
        </w:rPr>
        <w:t>In a chapter of his book Charlemagne, Johannes Fried mentions briefly the foreign scholars at the Carolingian court who represented diverse cultures of learning; but did these foreign scholars help to connect the empire of Charlemagne (742–814 CE) to the surrounding kingdoms and the wider world? This paper looks at the influence of foreign scholars on the Carolingian empire’s interaction with the wider world. In understanding the interactions between the Carolingian empire and its surrounding neighbours, historians can gain more knowledge and understanding regarding the interactions between many eighth- and ninth-century kingdoms and the start of the evolution of modern Europe. By looking at contemporary ninth-century authors such as Einhard, Alcuin and Theodulf of Orleans and analysing how these writers refer to contacts with other kingdoms, such as Alcuin’s communications with Anglo-Saxon England, this paper helps to broaden the understanding of the inter-relationships of ninth-century Europe.</w:t>
      </w:r>
    </w:p>
    <w:p w14:paraId="45D28A9C" w14:textId="77777777" w:rsidR="0048524B" w:rsidRDefault="0048524B"/>
    <w:p w14:paraId="391C5C83" w14:textId="551A18A2" w:rsidR="0048524B" w:rsidRDefault="0048524B">
      <w:r w:rsidRPr="002E1C1E">
        <w:rPr>
          <w:b/>
          <w:noProof/>
        </w:rPr>
        <w:t>Tessa</w:t>
      </w:r>
      <w:r w:rsidRPr="008357DE">
        <w:rPr>
          <w:b/>
        </w:rPr>
        <w:t xml:space="preserve"> </w:t>
      </w:r>
      <w:r w:rsidRPr="002E1C1E">
        <w:rPr>
          <w:b/>
          <w:noProof/>
        </w:rPr>
        <w:t>Tribe</w:t>
      </w:r>
      <w:r w:rsidRPr="008357DE">
        <w:rPr>
          <w:b/>
        </w:rPr>
        <w:t xml:space="preserve"> </w:t>
      </w:r>
      <w:r>
        <w:rPr>
          <w:b/>
        </w:rPr>
        <w:t xml:space="preserve"> </w:t>
      </w:r>
      <w:r w:rsidRPr="008357DE">
        <w:t>(</w:t>
      </w:r>
      <w:r>
        <w:rPr>
          <w:noProof/>
        </w:rPr>
        <w:t>Monash University Australia</w:t>
      </w:r>
      <w:r w:rsidR="006E2A0F">
        <w:t>)</w:t>
      </w:r>
    </w:p>
    <w:p w14:paraId="1015DF44" w14:textId="77777777" w:rsidR="0048524B" w:rsidRDefault="0048524B">
      <w:pPr>
        <w:rPr>
          <w:i/>
        </w:rPr>
      </w:pPr>
      <w:r w:rsidRPr="002E1C1E">
        <w:rPr>
          <w:i/>
          <w:noProof/>
        </w:rPr>
        <w:t>Breaking The Sex Pistols Barrier: Demystifying the diversity of Holocaust representations in British punk culture, 1975–1990</w:t>
      </w:r>
    </w:p>
    <w:p w14:paraId="3222E6BB" w14:textId="77777777" w:rsidR="0048524B" w:rsidRDefault="0048524B">
      <w:r>
        <w:rPr>
          <w:noProof/>
        </w:rPr>
        <w:t>The emergence of the counter-culture of ‘punk’ in 1970s’ Britain coincided with the coming of age of the post-war generation. Despite the geographical and temporal distance, this new generation of British youth was culturally immersed in memories of the Holocaust through a rise in pop culture representations. Coinciding with a period of social, political and economic crisis in Britain, punk music and art became the seemingly unlikely conduit for a wealth of creative products that represented, engaged and subverted British cultural memory of the Holocaust. Despite the wealth of punk literature, music and visual art representing the Holocaust between 1975 to 1990, the few investigations analysing this intersection have been significantly restricted by an exclusive focus of scholarship on one commercially successful band, The Sex Pistols. Owing to the underground, ‘do it yourself’ nature of punk, crucial primary source material was obtained from both private and formalised archives in the United Kingdom. These atypical sources provide frames of identity, cultural context and motivations behind each case study’s Holocaust representations. By applying realist and anti-realist frameworks of debate regarding the limitations of Holocaust representations to a broader cross-section of punk artists, this paper demonstrates an overlooked nuance within punk to representing the Holocaust. The aim of this paper is not to judge the appropriateness of these representations, but rather to begin a conversation that acknowledges the enormity of breadth and variety beyond the nihilism and shock value of The Sex Pistols in Holocaust memory studies, and punk cultural and historical enquiry.</w:t>
      </w:r>
    </w:p>
    <w:p w14:paraId="7FFA6228" w14:textId="77777777" w:rsidR="0048524B" w:rsidRDefault="0048524B"/>
    <w:p w14:paraId="46B691C9" w14:textId="77777777" w:rsidR="006E2A0F" w:rsidRDefault="006E2A0F">
      <w:pPr>
        <w:rPr>
          <w:b/>
          <w:noProof/>
        </w:rPr>
      </w:pPr>
      <w:r>
        <w:rPr>
          <w:b/>
          <w:noProof/>
        </w:rPr>
        <w:br w:type="page"/>
      </w:r>
    </w:p>
    <w:p w14:paraId="43948AA6" w14:textId="5DBD6AC9" w:rsidR="0048524B" w:rsidRDefault="0048524B">
      <w:r w:rsidRPr="002E1C1E">
        <w:rPr>
          <w:b/>
          <w:noProof/>
        </w:rPr>
        <w:lastRenderedPageBreak/>
        <w:t>Adam</w:t>
      </w:r>
      <w:r w:rsidRPr="008357DE">
        <w:rPr>
          <w:b/>
        </w:rPr>
        <w:t xml:space="preserve"> </w:t>
      </w:r>
      <w:r w:rsidRPr="002E1C1E">
        <w:rPr>
          <w:b/>
          <w:noProof/>
        </w:rPr>
        <w:t>Weitzer</w:t>
      </w:r>
      <w:r w:rsidRPr="008357DE">
        <w:rPr>
          <w:b/>
        </w:rPr>
        <w:t xml:space="preserve"> </w:t>
      </w:r>
      <w:r>
        <w:rPr>
          <w:b/>
        </w:rPr>
        <w:t xml:space="preserve"> </w:t>
      </w:r>
      <w:r w:rsidRPr="008357DE">
        <w:t>(</w:t>
      </w:r>
      <w:r>
        <w:rPr>
          <w:noProof/>
        </w:rPr>
        <w:t>Monash University Australia</w:t>
      </w:r>
      <w:r w:rsidR="006E2A0F">
        <w:t>)</w:t>
      </w:r>
    </w:p>
    <w:p w14:paraId="3497CE5C" w14:textId="77777777" w:rsidR="0048524B" w:rsidRDefault="0048524B">
      <w:pPr>
        <w:rPr>
          <w:i/>
        </w:rPr>
      </w:pPr>
      <w:r w:rsidRPr="002E1C1E">
        <w:rPr>
          <w:i/>
          <w:noProof/>
        </w:rPr>
        <w:t xml:space="preserve">Death, Denial and Democratisation: The construction of memory in Günter Grass’s </w:t>
      </w:r>
      <w:r w:rsidRPr="00817821">
        <w:rPr>
          <w:noProof/>
        </w:rPr>
        <w:t>The Tin Drum</w:t>
      </w:r>
      <w:r w:rsidRPr="002E1C1E">
        <w:rPr>
          <w:i/>
          <w:noProof/>
        </w:rPr>
        <w:t xml:space="preserve"> as a model of ‘Vergangenheitsbewältigung’ in post-war West Germany</w:t>
      </w:r>
    </w:p>
    <w:p w14:paraId="3ED460E9" w14:textId="77777777" w:rsidR="0048524B" w:rsidRDefault="0048524B">
      <w:r>
        <w:rPr>
          <w:noProof/>
        </w:rPr>
        <w:t>The culture of Holocaust memory in post-war West Germany was initially one of denial and rationalisation. The conservative Christian Democratic Union government under Konrad Adenauer (1949–1963) viewed the Holocaust as an anomaly in German history that could be overcome through financial means rather than political ones. In the mid-1950s, however, emerging left-wing discourse on the moral necessity of open memorialisation as a key to national and democratic reconstruction produced ‘Vergangenheitsbewältigung’, the concept of ‘overcoming the past’. While the literature on post-war West Germany emphasises the growth of left-wing ideology and the impact of economic reform on moving the country towards liberalism, there has been comparatively little work done on the role played by culture as an agent of societal change. In this paper, I address this gap, exploring Günter Grass’s The Tin Drum (1956) as the founding literary work of Vergangenheitsbewältigung. I consider how the novel illuminates the memory of Nazism as inescapable, how it stresses the need for ordinary Germans to accept their part in a collective guilt and how it critically approaches different forms of memorialisation. I argue that The Tin Drum presents a sceptical view of language as a way of preserving the past, advocating instead for the use of visual and physical artefacts to preserve the Holocaust memory in future generations. My research combines close textual analysis of the novel with a survey of the historical context to reveal how a magical realist work of fiction forced West Germany to confront a historical past denied.</w:t>
      </w:r>
    </w:p>
    <w:p w14:paraId="74969B0A" w14:textId="77777777" w:rsidR="0048524B" w:rsidRDefault="0048524B"/>
    <w:p w14:paraId="5A1E0226" w14:textId="77777777" w:rsidR="006E2A0F" w:rsidRDefault="006E2A0F">
      <w:pPr>
        <w:rPr>
          <w:b/>
          <w:noProof/>
        </w:rPr>
      </w:pPr>
      <w:r>
        <w:rPr>
          <w:b/>
          <w:noProof/>
        </w:rPr>
        <w:br w:type="page"/>
      </w:r>
    </w:p>
    <w:p w14:paraId="1C7E8F39" w14:textId="379BC76D" w:rsidR="006E2A0F" w:rsidRDefault="006E2A0F" w:rsidP="006E2A0F">
      <w:pPr>
        <w:pStyle w:val="Heading1"/>
      </w:pPr>
      <w:r>
        <w:lastRenderedPageBreak/>
        <w:t xml:space="preserve">Panel 12A: </w:t>
      </w:r>
      <w:r w:rsidRPr="006E2A0F">
        <w:t>Creativity, Culture and Materials</w:t>
      </w:r>
    </w:p>
    <w:p w14:paraId="6E3E79AF" w14:textId="77777777" w:rsidR="006E2A0F" w:rsidRPr="006E2A0F" w:rsidRDefault="006E2A0F" w:rsidP="006E2A0F"/>
    <w:p w14:paraId="50C6CB03" w14:textId="40173BE8" w:rsidR="0048524B" w:rsidRDefault="0048524B">
      <w:r w:rsidRPr="002E1C1E">
        <w:rPr>
          <w:b/>
          <w:noProof/>
        </w:rPr>
        <w:t>Yuki</w:t>
      </w:r>
      <w:r w:rsidRPr="008357DE">
        <w:rPr>
          <w:b/>
        </w:rPr>
        <w:t xml:space="preserve"> </w:t>
      </w:r>
      <w:r w:rsidRPr="002E1C1E">
        <w:rPr>
          <w:b/>
          <w:noProof/>
        </w:rPr>
        <w:t>Nakagawa</w:t>
      </w:r>
      <w:r w:rsidRPr="008357DE">
        <w:rPr>
          <w:b/>
        </w:rPr>
        <w:t xml:space="preserve"> </w:t>
      </w:r>
      <w:r>
        <w:rPr>
          <w:b/>
        </w:rPr>
        <w:t xml:space="preserve"> </w:t>
      </w:r>
      <w:r>
        <w:t>(Kyushu University, Japan</w:t>
      </w:r>
      <w:r w:rsidR="006E2A0F">
        <w:t>)</w:t>
      </w:r>
    </w:p>
    <w:p w14:paraId="75672002" w14:textId="77777777" w:rsidR="0048524B" w:rsidRDefault="0048524B">
      <w:pPr>
        <w:rPr>
          <w:i/>
        </w:rPr>
      </w:pPr>
      <w:r w:rsidRPr="002E1C1E">
        <w:rPr>
          <w:i/>
          <w:noProof/>
        </w:rPr>
        <w:t>The Relationship Between Music and Society: The role of musical tempo in the perception of time</w:t>
      </w:r>
    </w:p>
    <w:p w14:paraId="1043D87A" w14:textId="77777777" w:rsidR="0048524B" w:rsidRDefault="0048524B">
      <w:r>
        <w:rPr>
          <w:noProof/>
        </w:rPr>
        <w:t>Music influences people around the world in any period and changes little by little. It is a part of life for many people, but as time moves on, variations in popular taste occur, and fashionable music becomes different. In my study, I focus on Japanese music. In Japan, ‘enka’ emerged during the Showa period. Even now it remains best known as Japanese traditional music. However, like all music tastes, Japanese music has changed little by little, so the tempo of modern music is faster than that of ‘enka’. These trends, seen in Japan, can also be seen around the world. These days, ballads are rarely seen in the music charts. Most people listen to up-tempo music, and the BPM (beats per minute of music) is getting higher. As the tempo of music gets faster, the length of songs becomes shorter. One reason for this is  because it is important for songs to be used commercials. Commercials give people a surprise, so songs need to become unique in order to be remembered. Does the tempo of music change only through the influence of the commercial? Which one came first, the influence of the commercial or the natural change of personal preference, and are there any other reasons for the changes? The purpose of this study is to determine what the relationship of the tempo is in music – which is getting faster – is to the perception of time within music and society. I will examine the history and change of the tempo in music and the relationship between music and society.</w:t>
      </w:r>
    </w:p>
    <w:p w14:paraId="15D47B97" w14:textId="77777777" w:rsidR="0048524B" w:rsidRDefault="0048524B"/>
    <w:p w14:paraId="13961D56" w14:textId="0853CA52" w:rsidR="0048524B" w:rsidRDefault="0048524B">
      <w:r w:rsidRPr="002E1C1E">
        <w:rPr>
          <w:b/>
          <w:noProof/>
        </w:rPr>
        <w:t>Yui</w:t>
      </w:r>
      <w:r w:rsidRPr="008357DE">
        <w:rPr>
          <w:b/>
        </w:rPr>
        <w:t xml:space="preserve"> </w:t>
      </w:r>
      <w:r w:rsidRPr="002E1C1E">
        <w:rPr>
          <w:b/>
          <w:noProof/>
        </w:rPr>
        <w:t>Fujii</w:t>
      </w:r>
      <w:r w:rsidRPr="008357DE">
        <w:rPr>
          <w:b/>
        </w:rPr>
        <w:t xml:space="preserve"> </w:t>
      </w:r>
      <w:r>
        <w:rPr>
          <w:b/>
        </w:rPr>
        <w:t xml:space="preserve"> </w:t>
      </w:r>
      <w:r>
        <w:t>(Kyushu University, Japan</w:t>
      </w:r>
      <w:r w:rsidR="006E2A0F">
        <w:t>)</w:t>
      </w:r>
    </w:p>
    <w:p w14:paraId="00F018AE" w14:textId="77777777" w:rsidR="0048524B" w:rsidRDefault="0048524B">
      <w:pPr>
        <w:rPr>
          <w:i/>
        </w:rPr>
      </w:pPr>
      <w:r w:rsidRPr="002E1C1E">
        <w:rPr>
          <w:i/>
          <w:noProof/>
        </w:rPr>
        <w:t>The Importance of Hakata Magemono (a Traditional Bent-Wood Craft) in Modern Japan</w:t>
      </w:r>
    </w:p>
    <w:p w14:paraId="15EF73AD" w14:textId="77777777" w:rsidR="0048524B" w:rsidRDefault="0048524B">
      <w:r>
        <w:rPr>
          <w:noProof/>
        </w:rPr>
        <w:t>When I was in junior high school and high school, I used to bring lunch to school in a Wappa lunchbox. I loved this lunchbox: the shape, colour and feel of it. In Japan, there are traditional Japanese wood-bending crafts called Wappa and also Menpa or Magemono. The main production district is Akita, but some other places, such as Nagano, Mie and Hakata, also continue this tradition. In Akita, the craft is called Wappa and in Hakata, Magemono or Magemon. The items are made from Hinoki (Japanese cypress) or Sugi (Japanese cedar). Thin sheets of wood from these trees are soaked in boiling water and, when they become soft, they are bent and tied up in the bark of cherry blossoms. Magemono is used for lunch boxes, rice tubs, steamers, tools for tea ceremonies and in the Shinto ritual. It is very important in daily life and also in culture and religion. After the war, Japan pursued economic growth, and the Japanese lifestyle has changed in many ways. Magemono was replaced by plastic. However, recently it is attracting attention again. Many people use Wappa Bento (lunch boxes) because of the good design and the property that keeps the rice moist and tasty. Furthermore, this bending wood skill is used in interiors. I would like to go to the craftsmen and see the skill and know the recent situation of Magemono. The research will include not only the importance of the craft in art or cultural perspectives but also the connection with the forest industry and food industry.</w:t>
      </w:r>
    </w:p>
    <w:p w14:paraId="1E356AA0" w14:textId="77777777" w:rsidR="0048524B" w:rsidRDefault="0048524B"/>
    <w:p w14:paraId="3239A64B" w14:textId="77777777" w:rsidR="00164415" w:rsidRDefault="00164415">
      <w:pPr>
        <w:rPr>
          <w:b/>
          <w:noProof/>
        </w:rPr>
      </w:pPr>
      <w:r>
        <w:rPr>
          <w:b/>
          <w:noProof/>
        </w:rPr>
        <w:br w:type="page"/>
      </w:r>
    </w:p>
    <w:p w14:paraId="024832A4" w14:textId="245A2B3E" w:rsidR="0048524B" w:rsidRDefault="0048524B">
      <w:r w:rsidRPr="002E1C1E">
        <w:rPr>
          <w:b/>
          <w:noProof/>
        </w:rPr>
        <w:lastRenderedPageBreak/>
        <w:t>Johnathon</w:t>
      </w:r>
      <w:r w:rsidRPr="008357DE">
        <w:rPr>
          <w:b/>
        </w:rPr>
        <w:t xml:space="preserve"> </w:t>
      </w:r>
      <w:r w:rsidRPr="002E1C1E">
        <w:rPr>
          <w:b/>
          <w:noProof/>
        </w:rPr>
        <w:t>Win</w:t>
      </w:r>
      <w:r w:rsidRPr="008357DE">
        <w:rPr>
          <w:b/>
        </w:rPr>
        <w:t xml:space="preserve"> </w:t>
      </w:r>
      <w:r>
        <w:rPr>
          <w:b/>
        </w:rPr>
        <w:t xml:space="preserve"> </w:t>
      </w:r>
      <w:r w:rsidRPr="008357DE">
        <w:t>(</w:t>
      </w:r>
      <w:r>
        <w:rPr>
          <w:noProof/>
        </w:rPr>
        <w:t>Monash University Australia</w:t>
      </w:r>
      <w:r w:rsidR="006E2A0F">
        <w:t>)</w:t>
      </w:r>
    </w:p>
    <w:p w14:paraId="26CB6362" w14:textId="77777777" w:rsidR="0048524B" w:rsidRDefault="0048524B">
      <w:pPr>
        <w:rPr>
          <w:i/>
        </w:rPr>
      </w:pPr>
      <w:r w:rsidRPr="002E1C1E">
        <w:rPr>
          <w:i/>
          <w:noProof/>
        </w:rPr>
        <w:t>Corporeal Music: Relational approaches to new music for flautists</w:t>
      </w:r>
    </w:p>
    <w:p w14:paraId="63B05F5C" w14:textId="77777777" w:rsidR="0048524B" w:rsidRDefault="0048524B">
      <w:r>
        <w:rPr>
          <w:noProof/>
        </w:rPr>
        <w:t>Corporeality in contemporary music composition refers to a format that endeavours to incorporate performer-specific physical idiosyncrasies and embodied performative elements. Although the format draws from performance art, theatre and modern dance, corporeal music utilises a distinctly musical means of organisation and is subsequently responsive to specialised technical, social and aesthetic issues – notably, music as a communicative means to foster personal and interpersonal relationships. With an innumerable range of creative outcomes that may manifest as a result of corporeal and collaborative compositional approaches, how may the composer, performer or arts practitioner at large delimit the practical implications of specified performative parameters or relational music(s)? Moreover, does close collaboration bode differently in preparation for performance and exhibition? Utilising both interviews and practice-led research in music composition, I will document my collaborations with two individual flautists whose practice concerns both physicality and embodiment: Melbourne-based Simone Maurer and Antwerp-based Ine Vanoeveren. This presentation will firstly foreground the musical and logistical precedents of each collaboration in order to demarcate viable corporeal and relational approaches to music-making. The subsequent process of collaboration will thus be outlined in relation to composition-specific aesthetic directions, after which, a brief discussion outlining the resultant compositional outcomes will be presented. It is hypothesised that effective application of corporeal and relational approaches to music composition, particularly close collaboration, will be necessarily considered from both technical and performative standpoints. Furthermore, it is also hypothesised that a degree of compositional ‘generality’ may be permissible when composing ‘corporeally’ in conjunction with another particular style and/or idiom.</w:t>
      </w:r>
    </w:p>
    <w:p w14:paraId="004740D4" w14:textId="77777777" w:rsidR="0048524B" w:rsidRDefault="0048524B"/>
    <w:p w14:paraId="488EAC21" w14:textId="70598DCA" w:rsidR="0048524B" w:rsidRDefault="0048524B">
      <w:r w:rsidRPr="002E1C1E">
        <w:rPr>
          <w:b/>
          <w:noProof/>
        </w:rPr>
        <w:t>Lucy</w:t>
      </w:r>
      <w:r w:rsidRPr="008357DE">
        <w:rPr>
          <w:b/>
        </w:rPr>
        <w:t xml:space="preserve"> </w:t>
      </w:r>
      <w:r w:rsidRPr="002E1C1E">
        <w:rPr>
          <w:b/>
          <w:noProof/>
        </w:rPr>
        <w:t>Russell</w:t>
      </w:r>
      <w:r w:rsidRPr="008357DE">
        <w:rPr>
          <w:b/>
        </w:rPr>
        <w:t xml:space="preserve"> </w:t>
      </w:r>
      <w:r>
        <w:rPr>
          <w:b/>
        </w:rPr>
        <w:t xml:space="preserve"> </w:t>
      </w:r>
      <w:r w:rsidRPr="008357DE">
        <w:t>(</w:t>
      </w:r>
      <w:r>
        <w:rPr>
          <w:noProof/>
        </w:rPr>
        <w:t>Monash University Australia</w:t>
      </w:r>
      <w:r w:rsidR="006E2A0F">
        <w:t>)</w:t>
      </w:r>
    </w:p>
    <w:p w14:paraId="246E40CA" w14:textId="77777777" w:rsidR="0048524B" w:rsidRDefault="0048524B">
      <w:pPr>
        <w:rPr>
          <w:i/>
        </w:rPr>
      </w:pPr>
      <w:r w:rsidRPr="002E1C1E">
        <w:rPr>
          <w:i/>
          <w:noProof/>
        </w:rPr>
        <w:t>Tools of Influence: Expanding practice through re-imagining the creative workspace</w:t>
      </w:r>
    </w:p>
    <w:p w14:paraId="34B83C3B" w14:textId="77777777" w:rsidR="0048524B" w:rsidRDefault="0048524B" w:rsidP="00AC7DBF">
      <w:pPr>
        <w:rPr>
          <w:noProof/>
        </w:rPr>
      </w:pPr>
      <w:r>
        <w:rPr>
          <w:noProof/>
        </w:rPr>
        <w:t>Dominant digital technologies are increasingly deterministic, with software limiting choices to pre-prepared activities – often reducing the role of the designer to a mere step in a production line, a stagnant operator. Current tools, ‘including workspaces, objects and practices’, yield far-reaching implications for creative processes and behaviours.</w:t>
      </w:r>
    </w:p>
    <w:p w14:paraId="1AEB7BC7" w14:textId="77777777" w:rsidR="0048524B" w:rsidRDefault="0048524B" w:rsidP="00AC7DBF">
      <w:pPr>
        <w:rPr>
          <w:noProof/>
        </w:rPr>
      </w:pPr>
      <w:r>
        <w:rPr>
          <w:noProof/>
        </w:rPr>
        <w:t>How might we revisit and re-imagine our relationship to our tools to encourage more convivial, flexible and diverse creative practices?</w:t>
      </w:r>
    </w:p>
    <w:p w14:paraId="56F83AB0" w14:textId="77777777" w:rsidR="0048524B" w:rsidRDefault="0048524B">
      <w:r>
        <w:rPr>
          <w:noProof/>
        </w:rPr>
        <w:t xml:space="preserve">This investigative project will employ action research through the creation of propositional prototypes for alternative workspaces. These prototypes will encourage the creative community to question and critique not only current deterministic frameworks but also possible futures for our tools. Other research methods will include auto-ethnography, interviews, workshops and the dissemination of open-source toolkits for reflection on creative processes and tools for use by designers. These toolkits will be designed to encourage the practitioners to note what processes they are using and why in order to expose the limitations of these processes and to encourage an increased awareness of the influence inherent in the tools they use or create. While this research may not provide an exhaustive exploration, it will produce an anchor for further research which may lead onto an investigation of media beyond practices. The proposed outcome of the research is to form a base for the disruption of current deterministic tools in creative practice and open up further </w:t>
      </w:r>
      <w:r>
        <w:rPr>
          <w:noProof/>
        </w:rPr>
        <w:lastRenderedPageBreak/>
        <w:t>questioning and discussion around the influence of our tools, ultimately fostering new knowledge around the nature of creativity and its role in design practice.</w:t>
      </w:r>
    </w:p>
    <w:p w14:paraId="0BF05106" w14:textId="77777777" w:rsidR="0048524B" w:rsidRDefault="0048524B"/>
    <w:p w14:paraId="5B151C51" w14:textId="77777777" w:rsidR="00164415" w:rsidRDefault="00164415">
      <w:pPr>
        <w:rPr>
          <w:b/>
          <w:noProof/>
        </w:rPr>
      </w:pPr>
      <w:r>
        <w:rPr>
          <w:b/>
          <w:noProof/>
        </w:rPr>
        <w:br w:type="page"/>
      </w:r>
    </w:p>
    <w:p w14:paraId="2570CD75" w14:textId="408A7318" w:rsidR="00164415" w:rsidRDefault="00164415" w:rsidP="00164415">
      <w:pPr>
        <w:pStyle w:val="Heading1"/>
      </w:pPr>
      <w:r>
        <w:lastRenderedPageBreak/>
        <w:t xml:space="preserve">Panel 12B: </w:t>
      </w:r>
      <w:r w:rsidRPr="00164415">
        <w:t>Local &amp; Governmental Approaches to World Issues</w:t>
      </w:r>
    </w:p>
    <w:p w14:paraId="1A6E2A20" w14:textId="77777777" w:rsidR="00164415" w:rsidRPr="00164415" w:rsidRDefault="00164415" w:rsidP="00164415"/>
    <w:p w14:paraId="1D6119EA" w14:textId="76E61BAC" w:rsidR="0048524B" w:rsidRDefault="0048524B">
      <w:r w:rsidRPr="002E1C1E">
        <w:rPr>
          <w:b/>
          <w:noProof/>
        </w:rPr>
        <w:t>Rebekah</w:t>
      </w:r>
      <w:r w:rsidRPr="008357DE">
        <w:rPr>
          <w:b/>
        </w:rPr>
        <w:t xml:space="preserve"> </w:t>
      </w:r>
      <w:r w:rsidRPr="002E1C1E">
        <w:rPr>
          <w:b/>
          <w:noProof/>
        </w:rPr>
        <w:t>Baynard-Smith</w:t>
      </w:r>
      <w:r w:rsidRPr="008357DE">
        <w:rPr>
          <w:b/>
        </w:rPr>
        <w:t xml:space="preserve"> </w:t>
      </w:r>
      <w:r w:rsidRPr="002E1C1E">
        <w:rPr>
          <w:b/>
          <w:noProof/>
        </w:rPr>
        <w:t>and Ashley Wild</w:t>
      </w:r>
      <w:r>
        <w:rPr>
          <w:b/>
        </w:rPr>
        <w:t xml:space="preserve"> </w:t>
      </w:r>
      <w:r w:rsidRPr="008357DE">
        <w:t>(</w:t>
      </w:r>
      <w:r>
        <w:rPr>
          <w:noProof/>
        </w:rPr>
        <w:t>Monash University Australia</w:t>
      </w:r>
      <w:r w:rsidR="00164415">
        <w:t>)</w:t>
      </w:r>
    </w:p>
    <w:p w14:paraId="312BEB78" w14:textId="77777777" w:rsidR="0048524B" w:rsidRDefault="0048524B">
      <w:pPr>
        <w:rPr>
          <w:i/>
        </w:rPr>
      </w:pPr>
      <w:r w:rsidRPr="002E1C1E">
        <w:rPr>
          <w:i/>
          <w:noProof/>
        </w:rPr>
        <w:t>Local People’s Perceptions and Attitudes Towards Urban Flooding in Segamat, Malaysia</w:t>
      </w:r>
    </w:p>
    <w:p w14:paraId="7CF51CAD" w14:textId="77777777" w:rsidR="0048524B" w:rsidRDefault="0048524B" w:rsidP="00AC7DBF">
      <w:pPr>
        <w:rPr>
          <w:noProof/>
        </w:rPr>
      </w:pPr>
      <w:r>
        <w:rPr>
          <w:noProof/>
        </w:rPr>
        <w:t>Segamat, a town in Johor, Malaysia, has been affected by severe flooding events in recent years, particularly in 2006, 2011 and 2017. These have caused thousands of residents to evacuate, widespread displacement and disruption, as well as significant damage to property and livelihoods. The most prominent approach to flooding preparedness and recovery from the government has been top-down, with little focus on promoting the ability of residents and local authorities to adapt and cope by drawing on local knowledge. The role that national and state-level agencies play in preparedness strategies, such as early warning systems, zoning and education, as well as the role of government and non-governmental agencies’ emergency response operations have been well documented. This research aims to examine in more detail the involvement of local people, knowledge and culture, in the mid of external adaptive and coping efforts.</w:t>
      </w:r>
    </w:p>
    <w:p w14:paraId="625A20FE" w14:textId="77777777" w:rsidR="0048524B" w:rsidRDefault="0048524B">
      <w:r>
        <w:rPr>
          <w:noProof/>
        </w:rPr>
        <w:t>In conjunction with Malaysian researchers (SEACO), data collection will be conducted in Segamat using the Sustainable Livelihoods Framework, gathering a better understanding of the impacts of the flood events, how the community prepared for and responded to such disasters, and finally what they propose as ways to improve the overall process of flooding adaptation, response and recovery. The research methods will likely vary from Focus Group Discussions (FGDs) and interviews to other forms of appropriate ethnographic methodology. It is anticipated that the research findings will shed light on areas of local disaster risk reduction that are often missed, the implications of these and the relationship with broader adaptation and coping strategies.</w:t>
      </w:r>
    </w:p>
    <w:p w14:paraId="36B08BC3" w14:textId="77777777" w:rsidR="0048524B" w:rsidRDefault="0048524B"/>
    <w:p w14:paraId="2DEE895D" w14:textId="196C8795" w:rsidR="0048524B" w:rsidRDefault="0048524B">
      <w:r w:rsidRPr="002E1C1E">
        <w:rPr>
          <w:b/>
          <w:noProof/>
        </w:rPr>
        <w:t>Sachetha</w:t>
      </w:r>
      <w:r w:rsidRPr="008357DE">
        <w:rPr>
          <w:b/>
        </w:rPr>
        <w:t xml:space="preserve"> </w:t>
      </w:r>
      <w:r w:rsidRPr="002E1C1E">
        <w:rPr>
          <w:b/>
          <w:noProof/>
        </w:rPr>
        <w:t>Bamunusinghe</w:t>
      </w:r>
      <w:r w:rsidRPr="008357DE">
        <w:rPr>
          <w:b/>
        </w:rPr>
        <w:t xml:space="preserve"> </w:t>
      </w:r>
      <w:r>
        <w:rPr>
          <w:b/>
        </w:rPr>
        <w:t xml:space="preserve"> </w:t>
      </w:r>
      <w:r w:rsidRPr="008357DE">
        <w:t>(</w:t>
      </w:r>
      <w:r>
        <w:rPr>
          <w:noProof/>
        </w:rPr>
        <w:t>Monash University Australia</w:t>
      </w:r>
      <w:r w:rsidR="00164415">
        <w:t>)</w:t>
      </w:r>
    </w:p>
    <w:p w14:paraId="3318803D" w14:textId="77777777" w:rsidR="0048524B" w:rsidRDefault="0048524B">
      <w:pPr>
        <w:rPr>
          <w:i/>
        </w:rPr>
      </w:pPr>
      <w:r w:rsidRPr="002E1C1E">
        <w:rPr>
          <w:i/>
          <w:noProof/>
        </w:rPr>
        <w:t>Achieving Sustainable Tourism in a UNESCO World Heritage Site: A case study of Vernazza, Cinque Terre</w:t>
      </w:r>
    </w:p>
    <w:p w14:paraId="4DFC7AA0" w14:textId="77777777" w:rsidR="0048524B" w:rsidRDefault="0048524B">
      <w:r>
        <w:rPr>
          <w:noProof/>
        </w:rPr>
        <w:t xml:space="preserve">Diminishing environmental degradation through means of sustainable tourism is a growing concept at tourist destinations worldwide. Measures to implement eco-friendly travelling not only is economically viable but also reduces negative pressures that mass tourism causes to the vulnerable environment. This concept of sustainable tourism is highly relevant in UNESCO World Heritage Sites such as Cinque Terre, Italy, where growing tourist numbers in summer months have significantly impacted the natural environment and community wellbeing. Although UNESCO works towards building a sustainable tourist destination, there are fundamental areas, highlighted in this case study, that are not sufficiently addressed. This project will argue land-use and resource management approaches in relation to sustainability principles that will ensure sustainable tourism in Vernazza, Cinque Terre. It will also explore sustainability principles through a three-fold manner of environmental, social and economic sustainability to guarantee all aspects of the natural environment, community and economy are highlighted. Research will largely involve academic literature and sources from local and international researchers of Cinque Terre. Primary research will also be conducted through interviews with Mayors of Cinque Terre and local businesses owners within Vernazza. This research is important as it will address the gap of knowledge upon improving UNESCO’s approach to sustainable tourism in Cinque Terre. Moreover, this research highlights key </w:t>
      </w:r>
      <w:r>
        <w:rPr>
          <w:noProof/>
        </w:rPr>
        <w:lastRenderedPageBreak/>
        <w:t>recommendations that can be broadened to other UNESCO World Heritage Sites which are continually experiencing issues of mass tourism.</w:t>
      </w:r>
    </w:p>
    <w:p w14:paraId="69F93D7D" w14:textId="77777777" w:rsidR="0048524B" w:rsidRDefault="0048524B"/>
    <w:p w14:paraId="19B8DDCC" w14:textId="7C82EB0A" w:rsidR="0048524B" w:rsidRDefault="0048524B">
      <w:r w:rsidRPr="002E1C1E">
        <w:rPr>
          <w:b/>
          <w:noProof/>
        </w:rPr>
        <w:t>Choo Sum</w:t>
      </w:r>
      <w:r w:rsidRPr="008357DE">
        <w:rPr>
          <w:b/>
        </w:rPr>
        <w:t xml:space="preserve"> </w:t>
      </w:r>
      <w:r w:rsidRPr="002E1C1E">
        <w:rPr>
          <w:b/>
          <w:noProof/>
        </w:rPr>
        <w:t>Lee</w:t>
      </w:r>
      <w:r w:rsidRPr="008357DE">
        <w:rPr>
          <w:b/>
        </w:rPr>
        <w:t xml:space="preserve"> </w:t>
      </w:r>
      <w:r>
        <w:rPr>
          <w:b/>
        </w:rPr>
        <w:t xml:space="preserve"> </w:t>
      </w:r>
      <w:r w:rsidRPr="008357DE">
        <w:t>(</w:t>
      </w:r>
      <w:r>
        <w:rPr>
          <w:noProof/>
        </w:rPr>
        <w:t>Monash University Malaysia</w:t>
      </w:r>
      <w:r w:rsidR="00164415">
        <w:t>)</w:t>
      </w:r>
    </w:p>
    <w:p w14:paraId="64219879" w14:textId="77777777" w:rsidR="0048524B" w:rsidRDefault="0048524B">
      <w:pPr>
        <w:rPr>
          <w:i/>
        </w:rPr>
      </w:pPr>
      <w:r w:rsidRPr="002E1C1E">
        <w:rPr>
          <w:i/>
          <w:noProof/>
        </w:rPr>
        <w:t>Comparing Student Activism in Australian and Malaysian Universities: A sociological perspective</w:t>
      </w:r>
    </w:p>
    <w:p w14:paraId="77E35117" w14:textId="77777777" w:rsidR="0048524B" w:rsidRDefault="0048524B">
      <w:r>
        <w:rPr>
          <w:noProof/>
        </w:rPr>
        <w:t>A noticeable difference in the level of student activism exists between the Australian and Malaysian campuses of Monash University. Despite belonging under the same organisational umbrella, student activism in the Australian campuses is significantly more vibrant than their Malaysian counterpart, where there is a general reluctance to mobilise around political issues even among those studying under the humanities and social sciences disciplines. Assuming that the curriculum and campus policy regarding student activity are roughly similar across these campuses, the factors that contribute to this difference may then lie in the different social and political configurations that these campuses are located in. However, existing literature on the determinants of student activism tends to rely on broad-gauge applications of social-psychological perspectives, rarely venturing beyond campus environments to locate student activism within wider social and political contexts. In contrast, this paper will attempt to examine and explain this difference in student activism vibrancy from a sociological perspective. More specifically, this paper will draw upon the Marxist concept of interpellation, which refers to the process whereby individuals are subjected into different ideologies, to compare Australian and Malaysian state ideologies regarding universities and university students, and their effects on student activism in their respective countries. To this end, primary sources, including policy documents and newspaper articles from both countries, will be critically examined. The findings of this paper will contribute to existing knowledge on the interplay between government, education and activism.</w:t>
      </w:r>
    </w:p>
    <w:p w14:paraId="66AAD836" w14:textId="77777777" w:rsidR="0048524B" w:rsidRDefault="0048524B"/>
    <w:p w14:paraId="577773C3" w14:textId="77777777" w:rsidR="00164415" w:rsidRDefault="00164415">
      <w:pPr>
        <w:rPr>
          <w:b/>
          <w:noProof/>
        </w:rPr>
      </w:pPr>
      <w:r>
        <w:rPr>
          <w:b/>
          <w:noProof/>
        </w:rPr>
        <w:br w:type="page"/>
      </w:r>
    </w:p>
    <w:p w14:paraId="6280D1BC" w14:textId="0846A9D7" w:rsidR="00164415" w:rsidRDefault="00164415" w:rsidP="00AD62AB">
      <w:pPr>
        <w:pStyle w:val="Heading1"/>
      </w:pPr>
      <w:r>
        <w:lastRenderedPageBreak/>
        <w:t xml:space="preserve">Panel 12C: </w:t>
      </w:r>
      <w:r w:rsidR="00AD62AB" w:rsidRPr="00AD62AB">
        <w:t>Computation and Technology</w:t>
      </w:r>
    </w:p>
    <w:p w14:paraId="19EE5BAC" w14:textId="77777777" w:rsidR="00AD62AB" w:rsidRPr="00AD62AB" w:rsidRDefault="00AD62AB" w:rsidP="00AD62AB"/>
    <w:p w14:paraId="43358F5F" w14:textId="6C500AAE" w:rsidR="0048524B" w:rsidRDefault="0048524B">
      <w:r w:rsidRPr="002E1C1E">
        <w:rPr>
          <w:b/>
          <w:noProof/>
        </w:rPr>
        <w:t>Cassie</w:t>
      </w:r>
      <w:r w:rsidRPr="008357DE">
        <w:rPr>
          <w:b/>
        </w:rPr>
        <w:t xml:space="preserve"> </w:t>
      </w:r>
      <w:r w:rsidRPr="002E1C1E">
        <w:rPr>
          <w:b/>
          <w:noProof/>
        </w:rPr>
        <w:t>Speakman</w:t>
      </w:r>
      <w:r w:rsidRPr="008357DE">
        <w:rPr>
          <w:b/>
        </w:rPr>
        <w:t xml:space="preserve"> </w:t>
      </w:r>
      <w:r>
        <w:rPr>
          <w:b/>
        </w:rPr>
        <w:t xml:space="preserve"> </w:t>
      </w:r>
      <w:r w:rsidRPr="008357DE">
        <w:t>(</w:t>
      </w:r>
      <w:r>
        <w:rPr>
          <w:noProof/>
        </w:rPr>
        <w:t>Monash University Australia</w:t>
      </w:r>
      <w:r w:rsidR="00AD62AB">
        <w:t>)</w:t>
      </w:r>
    </w:p>
    <w:p w14:paraId="78C9FDBC" w14:textId="77777777" w:rsidR="0048524B" w:rsidRDefault="0048524B">
      <w:pPr>
        <w:rPr>
          <w:i/>
        </w:rPr>
      </w:pPr>
      <w:r w:rsidRPr="002E1C1E">
        <w:rPr>
          <w:i/>
          <w:noProof/>
        </w:rPr>
        <w:t>Advantages and Limitations of Remote Camera Traps for Monitoring Fur Seal Haul-Out Sites</w:t>
      </w:r>
    </w:p>
    <w:p w14:paraId="78180769" w14:textId="77777777" w:rsidR="0048524B" w:rsidRDefault="0048524B">
      <w:r>
        <w:rPr>
          <w:noProof/>
        </w:rPr>
        <w:t>Remote camera traps have been commonly used for wildlife monitoring within terrestrial systems, yet there has been minimal use of these technologies within coastal and marine environments. Current methods for monitoring wild fur seal populations are often invasive and pose risks to researchers and study animals, which may ultimately influence research outcomes. The use of technology for marine surveys has been on the rise due to their potential to reduce survey-related costs, risks and invasiveness. This study used camera traps to survey Australian fur seals (A. doriferus) at a known haul-out site in southern Port Phillip Bay, Victoria, Australia. Results showed promise for camera trap use in monitoring pinniped populations in similar locations where UAVs are unable to be used.</w:t>
      </w:r>
    </w:p>
    <w:p w14:paraId="4CE1398F" w14:textId="77777777" w:rsidR="0048524B" w:rsidRDefault="0048524B"/>
    <w:p w14:paraId="776A0ADF" w14:textId="586C8DF4" w:rsidR="0048524B" w:rsidRDefault="0048524B">
      <w:r w:rsidRPr="002E1C1E">
        <w:rPr>
          <w:b/>
          <w:noProof/>
        </w:rPr>
        <w:t>Madeline</w:t>
      </w:r>
      <w:r w:rsidRPr="008357DE">
        <w:rPr>
          <w:b/>
        </w:rPr>
        <w:t xml:space="preserve"> </w:t>
      </w:r>
      <w:r w:rsidRPr="002E1C1E">
        <w:rPr>
          <w:b/>
          <w:noProof/>
        </w:rPr>
        <w:t>Gordon</w:t>
      </w:r>
      <w:r w:rsidRPr="008357DE">
        <w:rPr>
          <w:b/>
        </w:rPr>
        <w:t xml:space="preserve"> </w:t>
      </w:r>
      <w:r>
        <w:rPr>
          <w:b/>
        </w:rPr>
        <w:t xml:space="preserve"> </w:t>
      </w:r>
      <w:r w:rsidRPr="008357DE">
        <w:t>(</w:t>
      </w:r>
      <w:r>
        <w:rPr>
          <w:noProof/>
        </w:rPr>
        <w:t>Monash University Australia</w:t>
      </w:r>
      <w:r w:rsidR="00AD62AB">
        <w:t>)</w:t>
      </w:r>
    </w:p>
    <w:p w14:paraId="3A300ABE" w14:textId="77777777" w:rsidR="0048524B" w:rsidRDefault="0048524B">
      <w:pPr>
        <w:rPr>
          <w:i/>
        </w:rPr>
      </w:pPr>
      <w:r w:rsidRPr="002E1C1E">
        <w:rPr>
          <w:i/>
          <w:noProof/>
        </w:rPr>
        <w:t>Incorporating Conductivity into Photoreversible Self-Healing Polymers for the Development of Flexible Electronics</w:t>
      </w:r>
    </w:p>
    <w:p w14:paraId="6018ED11" w14:textId="77777777" w:rsidR="0048524B" w:rsidRDefault="0048524B">
      <w:r>
        <w:rPr>
          <w:noProof/>
        </w:rPr>
        <w:t>Self-healing polymers are materials with the built-in capability to repair from damage. Through this, the lifespan of polymeric materials is increased, and it offers a potential solution to address the growing amount of plastic waste. These materials have also attracted increasing attention due to their wide range of applications, with obvious advantages in the development of conductive materials. A conductive self-healing material is promising for the development of self-healing electronics, particularly with the tuning of further properties such as transparency and flexibility. A novel coumarin-derived 4-arm monomer was synthesised that has the ability to undergo photoreversible polymerisation, and hence was shown to exhibit self-healing behaviour. From this polymer, a variety of application techniques were developed that enable the extension of this ability to a circuit of the conductive polymer PEDOT/PSS, producing a self-healing conductive material. These techniques were assessed for the most effective method which allowed for healing with high recovery of conductivity and mechanical durability, leading to a promising candidate for a flexible self-healing electronic device.</w:t>
      </w:r>
    </w:p>
    <w:p w14:paraId="374BA168" w14:textId="77777777" w:rsidR="0048524B" w:rsidRDefault="0048524B"/>
    <w:p w14:paraId="6B7BF2C3" w14:textId="16FA0DA9" w:rsidR="0048524B" w:rsidRDefault="0048524B">
      <w:r w:rsidRPr="002E1C1E">
        <w:rPr>
          <w:b/>
          <w:noProof/>
        </w:rPr>
        <w:t>Kara</w:t>
      </w:r>
      <w:r w:rsidRPr="008357DE">
        <w:rPr>
          <w:b/>
        </w:rPr>
        <w:t xml:space="preserve"> </w:t>
      </w:r>
      <w:r w:rsidRPr="002E1C1E">
        <w:rPr>
          <w:b/>
          <w:noProof/>
        </w:rPr>
        <w:t>Robinson</w:t>
      </w:r>
      <w:r w:rsidRPr="008357DE">
        <w:rPr>
          <w:b/>
        </w:rPr>
        <w:t xml:space="preserve"> </w:t>
      </w:r>
      <w:r>
        <w:rPr>
          <w:b/>
        </w:rPr>
        <w:t xml:space="preserve"> </w:t>
      </w:r>
      <w:r w:rsidRPr="008357DE">
        <w:t>(</w:t>
      </w:r>
      <w:r>
        <w:rPr>
          <w:noProof/>
        </w:rPr>
        <w:t>Monash University Australia</w:t>
      </w:r>
      <w:r w:rsidR="00AD62AB">
        <w:t>)</w:t>
      </w:r>
    </w:p>
    <w:p w14:paraId="0D1D16D5" w14:textId="77777777" w:rsidR="0048524B" w:rsidRDefault="0048524B">
      <w:pPr>
        <w:rPr>
          <w:i/>
        </w:rPr>
      </w:pPr>
      <w:r w:rsidRPr="002E1C1E">
        <w:rPr>
          <w:i/>
          <w:noProof/>
        </w:rPr>
        <w:t>In-situ Biofilter Plant Root Traits: A comparison between field and lab</w:t>
      </w:r>
    </w:p>
    <w:p w14:paraId="3001A3C0" w14:textId="77777777" w:rsidR="0048524B" w:rsidRDefault="0048524B">
      <w:r>
        <w:rPr>
          <w:noProof/>
        </w:rPr>
        <w:t xml:space="preserve">Biofilters comprise an important component of integrated urban water management, treating stormwater through a vegetated filter media. Studies have shown that plant species differ in their capacity to remove nitrogen and phosphorous from stormwater, due in part to their functional root traits, for which literature values have been obtained through laboratory column studies. However, little is known about how functional root traits in biofilter-grown plants differ from those grown in laboratory columns. In this study, functional root traits were measured for root samples of Lomandra longifolia in four biofilters in Melbourne, Australia using the image analysis software Image J and compared these with literature values. It was found that the SRL, ARD and PFR of field </w:t>
      </w:r>
      <w:r>
        <w:rPr>
          <w:noProof/>
        </w:rPr>
        <w:lastRenderedPageBreak/>
        <w:t>biofilter-grown L. longifolia plants varied greatly between biofilter and do not differ significantly from those of laboratory-grown plants. It was also found that the higher-precision image analysis methodology in this study resulted in the detection of fine roots under 0.16mm, which comprised up to 56.9 per cent of total root length in some samples. The benefits of this more precise root measurement methodology and the factors influencing variability in functional root traits between biofilters were discussed and suggestions for future research were identified. The results of this study support the use of functional root trait values derived from laboratory-grown plants in modelling and other applications.</w:t>
      </w:r>
    </w:p>
    <w:p w14:paraId="49F3C355" w14:textId="77777777" w:rsidR="0048524B" w:rsidRDefault="0048524B"/>
    <w:p w14:paraId="756B0435" w14:textId="77777777" w:rsidR="00AD62AB" w:rsidRDefault="00AD62AB">
      <w:pPr>
        <w:rPr>
          <w:b/>
          <w:noProof/>
        </w:rPr>
      </w:pPr>
      <w:r>
        <w:rPr>
          <w:b/>
          <w:noProof/>
        </w:rPr>
        <w:br w:type="page"/>
      </w:r>
    </w:p>
    <w:p w14:paraId="3B073C02" w14:textId="10B36729" w:rsidR="00AD62AB" w:rsidRDefault="00AD62AB" w:rsidP="00AD62AB">
      <w:pPr>
        <w:pStyle w:val="Heading1"/>
      </w:pPr>
      <w:r>
        <w:lastRenderedPageBreak/>
        <w:t xml:space="preserve">Panel 13A: </w:t>
      </w:r>
      <w:r w:rsidRPr="00AD62AB">
        <w:t>Experimental Science</w:t>
      </w:r>
    </w:p>
    <w:p w14:paraId="4D893DE6" w14:textId="77777777" w:rsidR="00AD62AB" w:rsidRPr="00AD62AB" w:rsidRDefault="00AD62AB" w:rsidP="00AD62AB"/>
    <w:p w14:paraId="279971C4" w14:textId="3A246372" w:rsidR="0048524B" w:rsidRDefault="0048524B">
      <w:r w:rsidRPr="002E1C1E">
        <w:rPr>
          <w:b/>
          <w:noProof/>
        </w:rPr>
        <w:t>Likhith</w:t>
      </w:r>
      <w:r w:rsidRPr="008357DE">
        <w:rPr>
          <w:b/>
        </w:rPr>
        <w:t xml:space="preserve"> </w:t>
      </w:r>
      <w:r w:rsidRPr="002E1C1E">
        <w:rPr>
          <w:b/>
          <w:noProof/>
        </w:rPr>
        <w:t>Manjunatha</w:t>
      </w:r>
      <w:r w:rsidRPr="008357DE">
        <w:rPr>
          <w:b/>
        </w:rPr>
        <w:t xml:space="preserve"> </w:t>
      </w:r>
      <w:r>
        <w:rPr>
          <w:b/>
        </w:rPr>
        <w:t xml:space="preserve"> </w:t>
      </w:r>
      <w:r>
        <w:t>(Kyushu University, Japan</w:t>
      </w:r>
      <w:r w:rsidR="00AD62AB">
        <w:t>)</w:t>
      </w:r>
    </w:p>
    <w:p w14:paraId="44AE3688" w14:textId="77777777" w:rsidR="0048524B" w:rsidRDefault="0048524B">
      <w:pPr>
        <w:rPr>
          <w:i/>
        </w:rPr>
      </w:pPr>
      <w:r w:rsidRPr="002E1C1E">
        <w:rPr>
          <w:i/>
          <w:noProof/>
        </w:rPr>
        <w:t>Investigation of Thermo-Physical Properties of Alcohols Using Molecular Dynamics Simulation</w:t>
      </w:r>
    </w:p>
    <w:p w14:paraId="6A6EE070" w14:textId="77777777" w:rsidR="0048524B" w:rsidRDefault="0048524B">
      <w:r>
        <w:rPr>
          <w:noProof/>
        </w:rPr>
        <w:t>Liquid coolants are an important mainstay in various industries, but have not faced significant improvements in well over a century. The choice of a good liquid coolant has direct implications in the development of efficient heat-removal systems for these industrial applications. Finding the next generation of coolants first requires a thorough understanding of the thermo-physical properties (namely thermal conductivity and viscosity) of the liquids at an atomic level. In this study, three alcohol molecules (iso-propanol, ethylene glycol and glycerol) of similar atomic composition but varying thermal conductivity and viscosity are studied from an atomic perspective to elucidate the underlying mechanisms responsible for such disparity. The thermal conductivity and viscosity contributions were subjected to two levels of breakdown: first by different modes of interaction (including intramolecular interactions due to change in angles, bond length, etc., and intermolecular pairwise interactions such as coulomb and van der Walls), then a further finer breakdown by pairwise atomic interactions (coulomb and van der Walls). Molecular dynamics simulations, through the use of Green-Kubo formalisms, were employed to calculate the data necessary for such an investigation. The study showed that, among the mode interactions, pairwise interaction was the biggest factor responsible for the difference in the properties, necessitating the need to examine it further. Subsequent pairwise atomic breakdown clearly quantifies the contributions due to individual atomic interactions, where interactions with hydroxyl groups in the alcohols are seen to play a significant role in determining thermal conductivity and viscosity. The role of hydroxyl groups can be extended further as a potential control factor in designing future liquid coolants.</w:t>
      </w:r>
    </w:p>
    <w:p w14:paraId="3AA50B25" w14:textId="77777777" w:rsidR="0048524B" w:rsidRDefault="0048524B"/>
    <w:p w14:paraId="68A957D7" w14:textId="47021E52" w:rsidR="0048524B" w:rsidRDefault="0048524B">
      <w:r w:rsidRPr="002E1C1E">
        <w:rPr>
          <w:b/>
          <w:noProof/>
        </w:rPr>
        <w:t>Misa</w:t>
      </w:r>
      <w:r w:rsidRPr="008357DE">
        <w:rPr>
          <w:b/>
        </w:rPr>
        <w:t xml:space="preserve"> </w:t>
      </w:r>
      <w:r w:rsidRPr="002E1C1E">
        <w:rPr>
          <w:b/>
          <w:noProof/>
        </w:rPr>
        <w:t>Kawanaka</w:t>
      </w:r>
      <w:r w:rsidRPr="008357DE">
        <w:rPr>
          <w:b/>
        </w:rPr>
        <w:t xml:space="preserve"> </w:t>
      </w:r>
      <w:r>
        <w:rPr>
          <w:b/>
        </w:rPr>
        <w:t xml:space="preserve"> </w:t>
      </w:r>
      <w:r>
        <w:t>(Kyushu University, Japan</w:t>
      </w:r>
      <w:r w:rsidR="00AD62AB">
        <w:t>)</w:t>
      </w:r>
    </w:p>
    <w:p w14:paraId="439BC54C" w14:textId="77777777" w:rsidR="0048524B" w:rsidRDefault="0048524B">
      <w:pPr>
        <w:rPr>
          <w:i/>
        </w:rPr>
      </w:pPr>
      <w:r w:rsidRPr="002E1C1E">
        <w:rPr>
          <w:i/>
          <w:noProof/>
        </w:rPr>
        <w:t>Study of the ‘Three-Second Rule’: Is it possible to eat fallen food?</w:t>
      </w:r>
    </w:p>
    <w:p w14:paraId="49ECC78E" w14:textId="77777777" w:rsidR="0048524B" w:rsidRDefault="0048524B">
      <w:r>
        <w:rPr>
          <w:noProof/>
        </w:rPr>
        <w:t>It is a general belief in Japan that food dropped on the floor is safe to be eaten if picked up within three seconds. We did a series of experiments to determine the effectiveness of the ‘three-second rule’. Firstly, we pressed the examination sheets (two types), which we used instead of food, on the floor and desk of the test environment (classroom 2-6). With each test, we changed the variables of time and material. We adjusted how long we pressed the examination sheet on the floor and desk of classroom 2-6 to know the bacterial count. This showed that the floor of classroom 2-6 was highly contaminated with bacteria. We tested the floors and desks of other areas in the school and this showed little and almost negligible contamination. From this experiment, we demonstrated the difference in bacterial count between pressing the examination sheet for three seconds versus ten seconds. The effectiveness of the ‘three-second rule’ was proven in the selected areas of Hamada High School.</w:t>
      </w:r>
    </w:p>
    <w:p w14:paraId="1BB06F5A" w14:textId="77777777" w:rsidR="0048524B" w:rsidRDefault="0048524B"/>
    <w:p w14:paraId="30A6B86E" w14:textId="77777777" w:rsidR="00AD62AB" w:rsidRDefault="00AD62AB">
      <w:pPr>
        <w:rPr>
          <w:b/>
          <w:noProof/>
        </w:rPr>
      </w:pPr>
    </w:p>
    <w:p w14:paraId="5DA36080" w14:textId="77777777" w:rsidR="00AD62AB" w:rsidRDefault="00AD62AB">
      <w:pPr>
        <w:rPr>
          <w:b/>
          <w:noProof/>
        </w:rPr>
      </w:pPr>
    </w:p>
    <w:p w14:paraId="7C382A93" w14:textId="77777777" w:rsidR="00AD62AB" w:rsidRDefault="00AD62AB">
      <w:pPr>
        <w:rPr>
          <w:b/>
          <w:noProof/>
        </w:rPr>
      </w:pPr>
      <w:r>
        <w:rPr>
          <w:b/>
          <w:noProof/>
        </w:rPr>
        <w:br w:type="page"/>
      </w:r>
    </w:p>
    <w:p w14:paraId="5AAC7E39" w14:textId="5FB9F6A6" w:rsidR="0048524B" w:rsidRDefault="0048524B">
      <w:r w:rsidRPr="002E1C1E">
        <w:rPr>
          <w:b/>
          <w:noProof/>
        </w:rPr>
        <w:lastRenderedPageBreak/>
        <w:t>Connor</w:t>
      </w:r>
      <w:r w:rsidRPr="008357DE">
        <w:rPr>
          <w:b/>
        </w:rPr>
        <w:t xml:space="preserve"> </w:t>
      </w:r>
      <w:r w:rsidRPr="002E1C1E">
        <w:rPr>
          <w:b/>
          <w:noProof/>
        </w:rPr>
        <w:t>Allen</w:t>
      </w:r>
      <w:r w:rsidRPr="008357DE">
        <w:rPr>
          <w:b/>
        </w:rPr>
        <w:t xml:space="preserve"> </w:t>
      </w:r>
      <w:r>
        <w:rPr>
          <w:b/>
        </w:rPr>
        <w:t xml:space="preserve"> </w:t>
      </w:r>
      <w:r w:rsidRPr="008357DE">
        <w:t>(</w:t>
      </w:r>
      <w:r>
        <w:rPr>
          <w:noProof/>
        </w:rPr>
        <w:t>Monash University Australia</w:t>
      </w:r>
      <w:r w:rsidR="00AD62AB">
        <w:t>)</w:t>
      </w:r>
    </w:p>
    <w:p w14:paraId="26734932" w14:textId="77777777" w:rsidR="0048524B" w:rsidRDefault="0048524B">
      <w:pPr>
        <w:rPr>
          <w:i/>
        </w:rPr>
      </w:pPr>
      <w:r w:rsidRPr="002E1C1E">
        <w:rPr>
          <w:i/>
          <w:noProof/>
        </w:rPr>
        <w:t>Evaluating the Significance of Macroeconomic Policies on the Transmission of HIV/AIDS across African Nations</w:t>
      </w:r>
    </w:p>
    <w:p w14:paraId="2FCBB9A3" w14:textId="77777777" w:rsidR="0048524B" w:rsidRDefault="0048524B">
      <w:r>
        <w:rPr>
          <w:noProof/>
        </w:rPr>
        <w:t>The transmission of the Human Immunodeficiency Virus and Acquired Immunodeficiency Syndrome (HIV/AIDS) throughout the African continent represents one of the most fundamental challenges in global health, with an estimated 25.5 million Sub-Saharan Africans infected with the virus. While a plethora of political and social determinants have contributed to the prominence of the transmission of HIV/AIDS in Africa, a thorough investigation on the impact that government-led macroeconomic policies have had on the spread of the disease needs to be undertaken. Through an analysis of the various economic structures, policies and observed economic outcomes found throughout the 54 nations that comprise the African continent, this study aims to draw connections between specific economic policies and the differing rates of HIV/AIDS transmission in the region. The impact of economic policies and overall macroeconomic performance will be evaluated by analysing data surrounding the changes in the prevalence of HIV/AIDS throughout the continent over the past two decades in conjunction with the attainment of specific macroeconomic objectives such as GDP per capita, unemployment and labour productivity, affiliated with key development indicators such as sanitation and overcrowding between countries. In doing so, this research will identify and enunciate the key macroeconomic determinants and patterns in macroeconomic policy that predispose certain communities and regions to increased infection of HIV/AIDS. Ultimately, this study hopes to promote greater discussion within the global health community and promote change in the formulation of economic policies that would otherwise further impede on improvements in alleviating the HIV/AIDS epidemic in Africa.</w:t>
      </w:r>
    </w:p>
    <w:p w14:paraId="359D7E14" w14:textId="77777777" w:rsidR="0048524B" w:rsidRDefault="0048524B"/>
    <w:p w14:paraId="75FA9343" w14:textId="7CBFC3ED" w:rsidR="0048524B" w:rsidRDefault="0048524B">
      <w:r w:rsidRPr="002E1C1E">
        <w:rPr>
          <w:b/>
          <w:noProof/>
        </w:rPr>
        <w:t>Yansong</w:t>
      </w:r>
      <w:r w:rsidRPr="008357DE">
        <w:rPr>
          <w:b/>
        </w:rPr>
        <w:t xml:space="preserve"> </w:t>
      </w:r>
      <w:r w:rsidRPr="002E1C1E">
        <w:rPr>
          <w:b/>
          <w:noProof/>
        </w:rPr>
        <w:t>Lu</w:t>
      </w:r>
      <w:r w:rsidRPr="008357DE">
        <w:rPr>
          <w:b/>
        </w:rPr>
        <w:t xml:space="preserve"> </w:t>
      </w:r>
      <w:r>
        <w:rPr>
          <w:b/>
        </w:rPr>
        <w:t xml:space="preserve"> </w:t>
      </w:r>
      <w:r w:rsidRPr="008357DE">
        <w:t>(</w:t>
      </w:r>
      <w:r>
        <w:rPr>
          <w:noProof/>
        </w:rPr>
        <w:t>Monash University Australia</w:t>
      </w:r>
      <w:r w:rsidR="00AD62AB">
        <w:t>)</w:t>
      </w:r>
    </w:p>
    <w:p w14:paraId="28F074EA" w14:textId="77777777" w:rsidR="0048524B" w:rsidRDefault="0048524B">
      <w:pPr>
        <w:rPr>
          <w:i/>
        </w:rPr>
      </w:pPr>
      <w:r w:rsidRPr="002E1C1E">
        <w:rPr>
          <w:i/>
          <w:noProof/>
        </w:rPr>
        <w:t>Identification of Receptors that Receive Signals From Zip88E Protein in Response to High-Dietary Zinc Concentration in Fruit Flies</w:t>
      </w:r>
    </w:p>
    <w:p w14:paraId="2BC20D5A" w14:textId="77777777" w:rsidR="0048524B" w:rsidRDefault="0048524B">
      <w:r>
        <w:rPr>
          <w:noProof/>
        </w:rPr>
        <w:t>The fruit fly protein Zip88E is a transporter for zinc in intestinal cells and is shown to play a role in detecting and responding to high-dietary zinc concentration, which causes zinc toxicity and is lethal (Richards et al., 2017). To date, the response to high zinc concentration is believed to act locally within cells. However, Richards et al. speculated that this response may instead be systemic, involving communications with the brain. This research aims to identify the receptors that receive signals from Zip88E in response to high zinc concentration and will be followed up by investigating these receptors’ abilities to communicate with the brain. If such receptors are identified, it will be the first time that we find a systemic response against high zinc concentration in animals, which is important as it helps to build a better understanding of the signalling pathways of Zip88E, giving further insights to the signalling pathways of Zip systems in other animals, including humans. In this research, experiments were performed to test the survival rate of groups of fruit flies that each lack a particular receptor by breeding them in high zinc concentration. The missing receptor that corresponds to a low survival rate is thus important in the signalling pathways of Zip88E. The results have already outlined a number of such receptors including AstA, RYa and MsR2, which will undergo further investigations and may potentially be the first evidence of systemic responses against high-dietary zinc concentration.</w:t>
      </w:r>
    </w:p>
    <w:p w14:paraId="4E86EF17" w14:textId="77777777" w:rsidR="0048524B" w:rsidRDefault="0048524B"/>
    <w:p w14:paraId="7BF79406" w14:textId="4C1A4148" w:rsidR="00AD62AB" w:rsidRDefault="00AD62AB" w:rsidP="00AD62AB">
      <w:pPr>
        <w:pStyle w:val="Heading1"/>
      </w:pPr>
      <w:r>
        <w:lastRenderedPageBreak/>
        <w:t xml:space="preserve">Panel 13B: </w:t>
      </w:r>
      <w:r w:rsidRPr="00AD62AB">
        <w:t>Healthcare</w:t>
      </w:r>
    </w:p>
    <w:p w14:paraId="264732D6" w14:textId="77777777" w:rsidR="00AD62AB" w:rsidRPr="00AD62AB" w:rsidRDefault="00AD62AB" w:rsidP="00AD62AB"/>
    <w:p w14:paraId="298F2471" w14:textId="0E07AAC2" w:rsidR="0048524B" w:rsidRDefault="0048524B">
      <w:r w:rsidRPr="002E1C1E">
        <w:rPr>
          <w:b/>
          <w:noProof/>
        </w:rPr>
        <w:t>Chloe</w:t>
      </w:r>
      <w:r w:rsidRPr="008357DE">
        <w:rPr>
          <w:b/>
        </w:rPr>
        <w:t xml:space="preserve"> </w:t>
      </w:r>
      <w:r w:rsidRPr="002E1C1E">
        <w:rPr>
          <w:b/>
          <w:noProof/>
        </w:rPr>
        <w:t>Cheng</w:t>
      </w:r>
      <w:r w:rsidRPr="008357DE">
        <w:rPr>
          <w:b/>
        </w:rPr>
        <w:t xml:space="preserve"> </w:t>
      </w:r>
      <w:r>
        <w:rPr>
          <w:b/>
        </w:rPr>
        <w:t xml:space="preserve"> </w:t>
      </w:r>
      <w:r w:rsidRPr="008357DE">
        <w:t>(</w:t>
      </w:r>
      <w:r>
        <w:rPr>
          <w:noProof/>
        </w:rPr>
        <w:t>Monash University Australia</w:t>
      </w:r>
      <w:r w:rsidR="00AD62AB">
        <w:t>)</w:t>
      </w:r>
    </w:p>
    <w:p w14:paraId="7375C9C8" w14:textId="77777777" w:rsidR="0048524B" w:rsidRDefault="0048524B">
      <w:pPr>
        <w:rPr>
          <w:i/>
        </w:rPr>
      </w:pPr>
      <w:r w:rsidRPr="002E1C1E">
        <w:rPr>
          <w:i/>
          <w:noProof/>
        </w:rPr>
        <w:t>Glycaemic Control and Rebooking Behaviour in a Diabetes Outpatient Clinic: ‘A single-centre cross-sectional analysis’</w:t>
      </w:r>
    </w:p>
    <w:p w14:paraId="08CAE97B" w14:textId="77777777" w:rsidR="0048524B" w:rsidRDefault="0048524B">
      <w:r>
        <w:rPr>
          <w:noProof/>
        </w:rPr>
        <w:t>Identifying patient characteristics that predict glycaemic control and clinic rebooking behaviour have the potential to assist clinicians in selecting complex patients for specialist care. From a health economics perspective, this has the potential to maximise the utility of tertiary services in the public healthcare system. The primary aims of this study were to identify patient characteristics associated with achieving individual glycaemic targets and rebooking behaviour. A retrospective analysis of 250 patients at Eastern Health’s diabetes outpatient clinic were included in the study. Statistical analysis of dichotomous and continuous data sets was carried out using chi-squared tests and linear regression, respectively (IBM SPSS Statistics v25). Forty per cent (n=96) of patients achieved their glycaemic control target. Characteristics associated with achieving glycaemic targets were: older age (p=0.039), reduced prevalence of ischaemic heart disease (p=0.013), not being on a SGLT2i (p=0.047) and a follow-up frequency of two visits a year (p=0.007). In terms of identifying patients suitable for discharge from a diabetes clinic, 13 per cent of patients have a HbA1c of &lt;7% and are not insulin-dependent. In the context of rebooking behaviour, older age was correlated with longer intervals to the next clinic review (p=0.002). High cholesterol (5.5mmol/L) and high triglycerides levels (2mmol/L) were correlated with shorter intervals to the next clinic review (p=0.023 and 0.01, respectively). Obesity was found to be associated with a shorter interval to the next clinic review (p=0.001). To summarise, this cross-sectional analysis presents a quantitative insight into glycaemic control in a diabetic population and its associated clinic rebooking behaviour.</w:t>
      </w:r>
    </w:p>
    <w:p w14:paraId="6B6BD5D8" w14:textId="77777777" w:rsidR="0048524B" w:rsidRDefault="0048524B"/>
    <w:p w14:paraId="22F7A838" w14:textId="2E47F725" w:rsidR="0048524B" w:rsidRDefault="0048524B">
      <w:r w:rsidRPr="002E1C1E">
        <w:rPr>
          <w:b/>
          <w:noProof/>
        </w:rPr>
        <w:t>Yonatan</w:t>
      </w:r>
      <w:r w:rsidRPr="008357DE">
        <w:rPr>
          <w:b/>
        </w:rPr>
        <w:t xml:space="preserve"> </w:t>
      </w:r>
      <w:r w:rsidRPr="002E1C1E">
        <w:rPr>
          <w:b/>
          <w:noProof/>
        </w:rPr>
        <w:t>Elbaum</w:t>
      </w:r>
      <w:r w:rsidRPr="008357DE">
        <w:rPr>
          <w:b/>
        </w:rPr>
        <w:t xml:space="preserve"> </w:t>
      </w:r>
      <w:r>
        <w:rPr>
          <w:b/>
        </w:rPr>
        <w:t xml:space="preserve"> </w:t>
      </w:r>
      <w:r w:rsidRPr="008357DE">
        <w:t>(</w:t>
      </w:r>
      <w:r>
        <w:rPr>
          <w:noProof/>
        </w:rPr>
        <w:t>Monash University Australia</w:t>
      </w:r>
      <w:r w:rsidR="00AD62AB">
        <w:t>)</w:t>
      </w:r>
    </w:p>
    <w:p w14:paraId="11FD43CA" w14:textId="77777777" w:rsidR="0048524B" w:rsidRDefault="0048524B">
      <w:pPr>
        <w:rPr>
          <w:i/>
        </w:rPr>
      </w:pPr>
      <w:r w:rsidRPr="002E1C1E">
        <w:rPr>
          <w:i/>
          <w:noProof/>
        </w:rPr>
        <w:t>Ross River Virus: A global health concern?</w:t>
      </w:r>
    </w:p>
    <w:p w14:paraId="3C1E4EE3" w14:textId="77777777" w:rsidR="0048524B" w:rsidRDefault="0048524B">
      <w:r>
        <w:rPr>
          <w:noProof/>
        </w:rPr>
        <w:t>Approximately 5000 Australians are infected with Ross River virus (RRV) every year, making it the most prevalent mosquito-borne disease in Australia. RRV is not fatal but causes debilitating symptoms such as headache, fever and lethargy, and there are no specific treatments or vaccinations. Therefore, understanding how the virus is spread is key to developing possible strategies for preventing large-scale transmission. Current research suggests that RRV utilises hosts to reproduce and mature before mosquitoes transmit the virus to the human population. This transmission mechanism – specifically the reliance on hosts, which have been identified as marsupials by previous research – suggests that the virus is constrained to geographic regions where marsupials are present, such as Australia. New research suggests that outbreaks of RRV have occurred in regions such as Polynesia where there are no marsupials present, suggesting additional species may also act as hosts. Thus, the aim of this study is to review the current literature to investigate whether humans can act as the non-marsupial hosts of RRV. The critical analysis of several studies suggests that humans play a larger role in the transmission of RRV than previously thought. Further research into the ability of humans to host this virus is necessary to better evaluate the risk of RRV being able to spread globally.</w:t>
      </w:r>
    </w:p>
    <w:p w14:paraId="71C51E46" w14:textId="77777777" w:rsidR="0048524B" w:rsidRDefault="0048524B"/>
    <w:p w14:paraId="32274C08" w14:textId="67C0B3F4" w:rsidR="0048524B" w:rsidRDefault="0048524B">
      <w:r w:rsidRPr="002E1C1E">
        <w:rPr>
          <w:b/>
          <w:noProof/>
        </w:rPr>
        <w:lastRenderedPageBreak/>
        <w:t>Mary Parimala</w:t>
      </w:r>
      <w:r w:rsidRPr="008357DE">
        <w:rPr>
          <w:b/>
        </w:rPr>
        <w:t xml:space="preserve"> </w:t>
      </w:r>
      <w:r w:rsidRPr="002E1C1E">
        <w:rPr>
          <w:b/>
          <w:noProof/>
        </w:rPr>
        <w:t>Dass</w:t>
      </w:r>
      <w:r w:rsidRPr="008357DE">
        <w:rPr>
          <w:b/>
        </w:rPr>
        <w:t xml:space="preserve"> </w:t>
      </w:r>
      <w:r>
        <w:rPr>
          <w:b/>
        </w:rPr>
        <w:t xml:space="preserve"> </w:t>
      </w:r>
      <w:r w:rsidRPr="008357DE">
        <w:t>(</w:t>
      </w:r>
      <w:r>
        <w:rPr>
          <w:noProof/>
        </w:rPr>
        <w:t>Monash University Australia</w:t>
      </w:r>
      <w:r w:rsidR="00AD62AB">
        <w:t>)</w:t>
      </w:r>
    </w:p>
    <w:p w14:paraId="289C9843" w14:textId="77777777" w:rsidR="0048524B" w:rsidRDefault="0048524B">
      <w:pPr>
        <w:rPr>
          <w:i/>
        </w:rPr>
      </w:pPr>
      <w:r w:rsidRPr="002E1C1E">
        <w:rPr>
          <w:i/>
          <w:noProof/>
        </w:rPr>
        <w:t>The Effect of Vitamin D on Multiple Sclerosis</w:t>
      </w:r>
    </w:p>
    <w:p w14:paraId="1A8A1583" w14:textId="77777777" w:rsidR="0048524B" w:rsidRDefault="0048524B">
      <w:r>
        <w:rPr>
          <w:noProof/>
        </w:rPr>
        <w:t>Multiple sclerosis (MS), a chronic inflammatory autoimmune disease, is characterised by the demyelination and degeneration of neurons in the central nervous system. Both genetic factors, such as heredity, and environmental factors, such as smoking, childhood obesity, viruses, imbalanced diet and low vitamin D levels, impact the occurrence of this disease. Low serum levels of vitamin D are linked to autoimmune diseases, MS being one of them. Studies have demonstrated that an inverse relationship exists between vitamin D and MS where a high dose of vitamin D will result in a decreased risk of MS. The study conducted as part of the SCI2015 literature review aimed to identify the role of vitamin D in the protective effect on MS. This involved investigating the cell types affected by vitamin D, in particular B and T cells, the major components of the adaptive immune response. It was found that vitamin D affected the suppression of CD4+ T cells, and Th6 and Th17 cytokines as well as affecting the downregulation of VCAM-I and NF. However, it increased the subset of Interleukin 10 (IL-10) produced by T cells but decreased the subset of Interleukin 10 produced by B cells. Future research should be based on comparing disease-modifying drugs such as fingolimod, teriflunomide and dimethyl fumarate to vitamin D in order to identify which of the treatments would be most effective in treating MS patients.</w:t>
      </w:r>
    </w:p>
    <w:p w14:paraId="3E680DE5" w14:textId="77777777" w:rsidR="0048524B" w:rsidRDefault="0048524B"/>
    <w:p w14:paraId="38E9D2B9" w14:textId="1CC32502" w:rsidR="0048524B" w:rsidRDefault="0048524B">
      <w:r w:rsidRPr="002E1C1E">
        <w:rPr>
          <w:b/>
          <w:noProof/>
        </w:rPr>
        <w:t>Jia Min</w:t>
      </w:r>
      <w:r w:rsidRPr="008357DE">
        <w:rPr>
          <w:b/>
        </w:rPr>
        <w:t xml:space="preserve"> </w:t>
      </w:r>
      <w:r w:rsidRPr="002E1C1E">
        <w:rPr>
          <w:b/>
          <w:noProof/>
        </w:rPr>
        <w:t>Cheang</w:t>
      </w:r>
      <w:r w:rsidRPr="008357DE">
        <w:rPr>
          <w:b/>
        </w:rPr>
        <w:t xml:space="preserve"> </w:t>
      </w:r>
      <w:r w:rsidRPr="002E1C1E">
        <w:rPr>
          <w:b/>
          <w:noProof/>
        </w:rPr>
        <w:t>and W.D.R. Himashi Pemasiri</w:t>
      </w:r>
      <w:r>
        <w:rPr>
          <w:b/>
        </w:rPr>
        <w:t xml:space="preserve"> </w:t>
      </w:r>
      <w:r w:rsidRPr="008357DE">
        <w:t>(</w:t>
      </w:r>
      <w:r>
        <w:rPr>
          <w:noProof/>
        </w:rPr>
        <w:t>Monash University Malaysia</w:t>
      </w:r>
      <w:r w:rsidR="00AD62AB">
        <w:t>)</w:t>
      </w:r>
    </w:p>
    <w:p w14:paraId="7D45D673" w14:textId="77777777" w:rsidR="0048524B" w:rsidRDefault="0048524B">
      <w:pPr>
        <w:rPr>
          <w:i/>
        </w:rPr>
      </w:pPr>
      <w:r w:rsidRPr="002E1C1E">
        <w:rPr>
          <w:i/>
          <w:noProof/>
        </w:rPr>
        <w:t>Prevalence of Appendectomies for Appendicitis in Malaysia: A survey of individuals over the age of 40, matched with the population for geography, ethnicity, gender and socio-economic status</w:t>
      </w:r>
    </w:p>
    <w:p w14:paraId="7B40F269" w14:textId="77777777" w:rsidR="0048524B" w:rsidRDefault="0048524B" w:rsidP="00AC7DBF">
      <w:pPr>
        <w:rPr>
          <w:noProof/>
        </w:rPr>
      </w:pPr>
      <w:r>
        <w:rPr>
          <w:noProof/>
        </w:rPr>
        <w:t>Appendicitis shows epidemiologic associations with ulcerative colitis and multiple sclerosis. Investigators may wish to conduct studies to look for associations with other chronic disorders (e.g. asthma, Parkinson’s, etc.) The aim of our survey was to determine the prevalence of appendectomies in the community in order to provide baseline data for such studies.</w:t>
      </w:r>
    </w:p>
    <w:p w14:paraId="05A09112" w14:textId="77777777" w:rsidR="0048524B" w:rsidRDefault="0048524B" w:rsidP="00AC7DBF">
      <w:pPr>
        <w:rPr>
          <w:noProof/>
        </w:rPr>
      </w:pPr>
      <w:r>
        <w:rPr>
          <w:noProof/>
        </w:rPr>
        <w:t>Methods: Participants included 1269 apparently normal Malaysians aged 40 years or more who were sampled (nonrandomised) from all over Malaysia. They were asked about a history of appendectomy and any chronic diseases via face-to-face or telephonic interviews. We excluded 8 appendectomised respondents who knew that their appendix was not inflamed at the time of surgery. White-collar workers were categorised as ‘upper socio-economic status’. We excluded persons below 40, because appendectomy is rare after 40, and this age restriction provides a better measure of the lifetime risk of appendectomy.</w:t>
      </w:r>
    </w:p>
    <w:p w14:paraId="7BEA1ACE" w14:textId="77777777" w:rsidR="0048524B" w:rsidRDefault="0048524B" w:rsidP="00AC7DBF">
      <w:pPr>
        <w:rPr>
          <w:noProof/>
        </w:rPr>
      </w:pPr>
      <w:r>
        <w:rPr>
          <w:noProof/>
        </w:rPr>
        <w:t>Results: Of 1261 persons, 73 had undergone appendectomy (crude prevalence 5.789%, 95% CI 4.5%, 7.07%). The prevalence of appendectomy in 481 Malays, 568 Chinese, 197 Indians and 15 others was 2.9%, 5.8%, 12.7%, and 9.1% respectively (chi-squared = 24.5 at 3 df, 0.000). Gender and socio-economic status did not influence appendectomy rates. Chronic diseases of the skin, digestive tract or bone showed no association with appendectomy, nor did diabetes or hypercholesterolemia. Hypertension showed a small negative association (3.96%, p=0.213, n.s.).</w:t>
      </w:r>
    </w:p>
    <w:p w14:paraId="5F1344AC" w14:textId="77777777" w:rsidR="0048524B" w:rsidRDefault="0048524B">
      <w:r>
        <w:rPr>
          <w:noProof/>
        </w:rPr>
        <w:t>Conclusion: The prevalence of appendectomy in ethnic Indians is significantly higher than among other races. This data can help with studies that evaluate the prevalence of appendectomy in various disorders.</w:t>
      </w:r>
    </w:p>
    <w:p w14:paraId="013E73CC" w14:textId="77777777" w:rsidR="0048524B" w:rsidRDefault="0048524B"/>
    <w:p w14:paraId="220E4A45" w14:textId="55DBE139" w:rsidR="00AD62AB" w:rsidRDefault="00AD62AB" w:rsidP="00B46DD6">
      <w:pPr>
        <w:pStyle w:val="Heading1"/>
      </w:pPr>
      <w:r w:rsidRPr="00B46DD6">
        <w:lastRenderedPageBreak/>
        <w:t xml:space="preserve">Panel 13C: </w:t>
      </w:r>
      <w:r w:rsidR="00B46DD6" w:rsidRPr="00B46DD6">
        <w:t>International Affairs</w:t>
      </w:r>
    </w:p>
    <w:p w14:paraId="6F5C1EC5" w14:textId="77777777" w:rsidR="00B46DD6" w:rsidRPr="00B46DD6" w:rsidRDefault="00B46DD6" w:rsidP="00B46DD6"/>
    <w:p w14:paraId="53ED0F82" w14:textId="1D35F1EB" w:rsidR="0048524B" w:rsidRDefault="0048524B">
      <w:r w:rsidRPr="002E1C1E">
        <w:rPr>
          <w:b/>
          <w:noProof/>
        </w:rPr>
        <w:t>Wyatt</w:t>
      </w:r>
      <w:r w:rsidRPr="008357DE">
        <w:rPr>
          <w:b/>
        </w:rPr>
        <w:t xml:space="preserve"> </w:t>
      </w:r>
      <w:r w:rsidRPr="002E1C1E">
        <w:rPr>
          <w:b/>
          <w:noProof/>
        </w:rPr>
        <w:t>Maddocks</w:t>
      </w:r>
      <w:r w:rsidRPr="008357DE">
        <w:rPr>
          <w:b/>
        </w:rPr>
        <w:t xml:space="preserve"> </w:t>
      </w:r>
      <w:r>
        <w:rPr>
          <w:b/>
        </w:rPr>
        <w:t xml:space="preserve"> </w:t>
      </w:r>
      <w:r w:rsidRPr="008357DE">
        <w:t>(</w:t>
      </w:r>
      <w:r>
        <w:rPr>
          <w:noProof/>
        </w:rPr>
        <w:t>Monash University Australia</w:t>
      </w:r>
      <w:r w:rsidR="00B46DD6">
        <w:t>)</w:t>
      </w:r>
    </w:p>
    <w:p w14:paraId="4878C31F" w14:textId="77777777" w:rsidR="0048524B" w:rsidRDefault="0048524B">
      <w:pPr>
        <w:rPr>
          <w:i/>
        </w:rPr>
      </w:pPr>
      <w:r w:rsidRPr="002E1C1E">
        <w:rPr>
          <w:i/>
          <w:noProof/>
        </w:rPr>
        <w:t>The Tension Between National Security and Democracy: A case study of the Watergate scandal</w:t>
      </w:r>
    </w:p>
    <w:p w14:paraId="5BE259D9" w14:textId="77777777" w:rsidR="0048524B" w:rsidRDefault="0048524B" w:rsidP="00AC7DBF">
      <w:pPr>
        <w:rPr>
          <w:noProof/>
        </w:rPr>
      </w:pPr>
      <w:r>
        <w:rPr>
          <w:noProof/>
        </w:rPr>
        <w:t>The relationship between a democratic system of government and its national security apparatus is complex and multi-faceted. In particular, the necessity for intelligence and security agencies to maintain secrecy regarding their operations can pose a clash with a liberal democracy’s promotion of transparency. This research is especially topical given the strong prominence of national security issues in the post-9/11 world.</w:t>
      </w:r>
    </w:p>
    <w:p w14:paraId="159DAEA7" w14:textId="77777777" w:rsidR="0048524B" w:rsidRDefault="0048524B" w:rsidP="00AC7DBF">
      <w:pPr>
        <w:rPr>
          <w:noProof/>
        </w:rPr>
      </w:pPr>
      <w:r>
        <w:rPr>
          <w:noProof/>
        </w:rPr>
        <w:t>The Watergate scandal that engulfed the administration of President Richard Nixon provides an accessible angle to examine the dynamic between national security and democratic governance. This event is suitable in relation to the research topic for two main reasons. Firstly, Watergate serves as a stark example of how a democratic government can become enveloped, and ultimately ravaged, by matters pertaining to national security. Secondly, the taping system that comprised a central aspect of the Watergate scandal provides a truly unique historical resource to approach this research topic by enabling analysis of the unfiltered conversations of a President of the United States.</w:t>
      </w:r>
    </w:p>
    <w:p w14:paraId="5D4207D2" w14:textId="77777777" w:rsidR="0048524B" w:rsidRDefault="0048524B">
      <w:r>
        <w:rPr>
          <w:noProof/>
        </w:rPr>
        <w:t>Using Watergate as a contextual background, my research will explore how an atmosphere of excessive secrecy and a lack of oversight mechanisms can exacerbate the inherent tensions posed by the relationship between democracy and national security. It also considers how institutions and individuals can either mitigate or facilitate the pressures posed by this relationship. Finally, my work makes connections to present-day policy discussions and reforms to assess the degree to which national security continues to place strains on liberal democracies.</w:t>
      </w:r>
    </w:p>
    <w:p w14:paraId="4932E43F" w14:textId="77777777" w:rsidR="0048524B" w:rsidRDefault="0048524B"/>
    <w:p w14:paraId="406B2060" w14:textId="2C924F3C" w:rsidR="0048524B" w:rsidRDefault="0048524B">
      <w:r w:rsidRPr="002E1C1E">
        <w:rPr>
          <w:b/>
          <w:noProof/>
        </w:rPr>
        <w:t>Michael</w:t>
      </w:r>
      <w:r w:rsidRPr="008357DE">
        <w:rPr>
          <w:b/>
        </w:rPr>
        <w:t xml:space="preserve"> </w:t>
      </w:r>
      <w:r w:rsidRPr="002E1C1E">
        <w:rPr>
          <w:b/>
          <w:noProof/>
        </w:rPr>
        <w:t>Walton</w:t>
      </w:r>
      <w:r w:rsidRPr="008357DE">
        <w:rPr>
          <w:b/>
        </w:rPr>
        <w:t xml:space="preserve"> </w:t>
      </w:r>
      <w:r>
        <w:rPr>
          <w:b/>
        </w:rPr>
        <w:t xml:space="preserve"> </w:t>
      </w:r>
      <w:r w:rsidRPr="008357DE">
        <w:t>(</w:t>
      </w:r>
      <w:r>
        <w:rPr>
          <w:noProof/>
        </w:rPr>
        <w:t>Monash University Australia</w:t>
      </w:r>
      <w:r w:rsidR="00B46DD6">
        <w:t>)</w:t>
      </w:r>
    </w:p>
    <w:p w14:paraId="68C5D465" w14:textId="77777777" w:rsidR="0048524B" w:rsidRDefault="0048524B">
      <w:pPr>
        <w:rPr>
          <w:i/>
        </w:rPr>
      </w:pPr>
      <w:r w:rsidRPr="002E1C1E">
        <w:rPr>
          <w:i/>
          <w:noProof/>
        </w:rPr>
        <w:t>The Currency of Greek Tragedy and Mythology in Contemporary Society</w:t>
      </w:r>
    </w:p>
    <w:p w14:paraId="08721883" w14:textId="77777777" w:rsidR="0048524B" w:rsidRDefault="0048524B" w:rsidP="00AC7DBF">
      <w:pPr>
        <w:rPr>
          <w:noProof/>
        </w:rPr>
      </w:pPr>
      <w:r>
        <w:rPr>
          <w:noProof/>
        </w:rPr>
        <w:t>What is the relevance of Greek tragedy? In a world so radically different from fifth-century Athens, it initially seems counter-intuitive to suggest that the literature and theatre of an ancient culture can have meaning in our world today. Science, mathematics, philosophy and theatre might have their roots in ancient Greek culture, but times change, civilisations move on and, in our contemporary society, these roots become forgotten.</w:t>
      </w:r>
    </w:p>
    <w:p w14:paraId="1C2309B2" w14:textId="77777777" w:rsidR="0048524B" w:rsidRDefault="0048524B" w:rsidP="00AC7DBF">
      <w:pPr>
        <w:rPr>
          <w:noProof/>
        </w:rPr>
      </w:pPr>
      <w:r>
        <w:rPr>
          <w:noProof/>
        </w:rPr>
        <w:t>This presentation will argue that ancient Greek culture does, however, have significant currency and relevance today. Greek myths and the way they are used and contextualised in Athenian tragedy have shaped Western culture, introducing ideas and archetypes that are now embedded in the fabric of our society.</w:t>
      </w:r>
    </w:p>
    <w:p w14:paraId="0737BCAC" w14:textId="77777777" w:rsidR="0048524B" w:rsidRDefault="0048524B">
      <w:r>
        <w:rPr>
          <w:noProof/>
        </w:rPr>
        <w:t>Through a specific examination of use and power of Greek myth and tragedy in a variety of works, ranging from the Renaissance paintings of Raphael to the Neil Gaiman’s ground-breaking Sandman, this presentation will argue that Greek tragedy and mythology maintains a strong social currency to our contemporary society. Moreover, this presentation seeks to demonstrate the relevance of understanding the transmission and adaptation of a mythos across a period of time, and how changing attitudes to, and usage of, a given myth reflect the social, political and religious climate of the time.</w:t>
      </w:r>
    </w:p>
    <w:p w14:paraId="41AAABCF" w14:textId="21712093" w:rsidR="0048524B" w:rsidRDefault="0048524B">
      <w:r w:rsidRPr="002E1C1E">
        <w:rPr>
          <w:b/>
          <w:noProof/>
        </w:rPr>
        <w:lastRenderedPageBreak/>
        <w:t>Hasitha</w:t>
      </w:r>
      <w:r w:rsidRPr="008357DE">
        <w:rPr>
          <w:b/>
        </w:rPr>
        <w:t xml:space="preserve"> </w:t>
      </w:r>
      <w:r w:rsidRPr="002E1C1E">
        <w:rPr>
          <w:b/>
          <w:noProof/>
        </w:rPr>
        <w:t>Jayatilake</w:t>
      </w:r>
      <w:r w:rsidRPr="008357DE">
        <w:rPr>
          <w:b/>
        </w:rPr>
        <w:t xml:space="preserve"> </w:t>
      </w:r>
      <w:r w:rsidRPr="002E1C1E">
        <w:rPr>
          <w:b/>
          <w:noProof/>
        </w:rPr>
        <w:t>and Hetti Arachchilage</w:t>
      </w:r>
      <w:r>
        <w:rPr>
          <w:b/>
        </w:rPr>
        <w:t xml:space="preserve"> </w:t>
      </w:r>
      <w:r w:rsidRPr="008357DE">
        <w:t>(</w:t>
      </w:r>
      <w:r>
        <w:rPr>
          <w:noProof/>
        </w:rPr>
        <w:t>Monash University Australia</w:t>
      </w:r>
      <w:r w:rsidR="00B46DD6">
        <w:t>)</w:t>
      </w:r>
    </w:p>
    <w:p w14:paraId="4B8DF4F9" w14:textId="77777777" w:rsidR="0048524B" w:rsidRDefault="0048524B">
      <w:pPr>
        <w:rPr>
          <w:i/>
        </w:rPr>
      </w:pPr>
      <w:r w:rsidRPr="002E1C1E">
        <w:rPr>
          <w:i/>
          <w:noProof/>
        </w:rPr>
        <w:t>Technocracy as a Development Indicator</w:t>
      </w:r>
    </w:p>
    <w:p w14:paraId="1FFBD557" w14:textId="77777777" w:rsidR="0048524B" w:rsidRDefault="0048524B">
      <w:r>
        <w:rPr>
          <w:noProof/>
        </w:rPr>
        <w:t>Technocracy can be defined as the influence that qualified technical experts (e.g. economists, lawyers, scientists, etc.) have over policy decisions in a country. The literature on technocracy has two limitations. Firstly, most studies have focused predominantly on developed countries and concluded that the common assumption of a trade-off between technocracy and democracy is quite empirically inaccurate. This implied that technocratic traits could emerge even within a representative democracy. However, it remains to be found whether this result also applies to developing democratic countries as well. Secondly, the existing literature is inconsistent in its conceptualisation of technocracy and does not have one agreed-upon measure for the concept. This study, therefore, has three objectives. The first is to critique existing conceptualisations of technocracy and propose a new means of quantitatively measuring the intensity of technocracy in a country. The second is to probe the effects of technocracy on development by comparing development indicators, such as GDP per capita and the Human Development Index (HDI), of a few specific developed and developing countries (with data from such sources as the World Bank) against a few proxy measures for technocracy. The third is to analyse whether there is a convergence towards higher levels of technocracy as countries develop and the relationship this convergence would have to regime type in the selected case studies. An important analysis among the case studies is the comparison between the two largest economies in the world – the United States and China – which have vastly different political systems. Finally, this study can promote the use of technocracy as a development indicator by highlighting its potential relationship with development outcomes.</w:t>
      </w:r>
    </w:p>
    <w:p w14:paraId="1B343F21" w14:textId="77777777" w:rsidR="0048524B" w:rsidRDefault="0048524B"/>
    <w:p w14:paraId="3E668445" w14:textId="469D871B" w:rsidR="0048524B" w:rsidRDefault="0048524B">
      <w:r w:rsidRPr="002E1C1E">
        <w:rPr>
          <w:b/>
          <w:noProof/>
        </w:rPr>
        <w:t>Norafiq</w:t>
      </w:r>
      <w:r w:rsidRPr="008357DE">
        <w:rPr>
          <w:b/>
        </w:rPr>
        <w:t xml:space="preserve"> </w:t>
      </w:r>
      <w:r w:rsidRPr="002E1C1E">
        <w:rPr>
          <w:b/>
          <w:noProof/>
        </w:rPr>
        <w:t>Bin Ismail</w:t>
      </w:r>
      <w:r w:rsidRPr="008357DE">
        <w:rPr>
          <w:b/>
        </w:rPr>
        <w:t xml:space="preserve"> </w:t>
      </w:r>
      <w:r>
        <w:rPr>
          <w:b/>
        </w:rPr>
        <w:t xml:space="preserve"> </w:t>
      </w:r>
      <w:r w:rsidRPr="008357DE">
        <w:t>(</w:t>
      </w:r>
      <w:r>
        <w:rPr>
          <w:noProof/>
        </w:rPr>
        <w:t>NTU</w:t>
      </w:r>
      <w:r w:rsidR="00B46DD6">
        <w:t>)</w:t>
      </w:r>
    </w:p>
    <w:p w14:paraId="7DED1624" w14:textId="77777777" w:rsidR="0048524B" w:rsidRDefault="0048524B">
      <w:pPr>
        <w:rPr>
          <w:i/>
        </w:rPr>
      </w:pPr>
      <w:r w:rsidRPr="002E1C1E">
        <w:rPr>
          <w:i/>
          <w:noProof/>
        </w:rPr>
        <w:t>Scripting an Alternative Singaporean Historio(graphics)</w:t>
      </w:r>
    </w:p>
    <w:p w14:paraId="0B77636F" w14:textId="77777777" w:rsidR="0048524B" w:rsidRDefault="0048524B">
      <w:r>
        <w:rPr>
          <w:noProof/>
        </w:rPr>
        <w:t>This research project aims to examine Singapore’s unique post-coloniality by investigating the intersection of history, power and nationhood in the Singaporean literary and cultural imagination. Drawing on Sonny Liew’s acclaimed graphic novel The Art of Charlie Chan Hock Chye, this project proposes a critical re-evaluation of the Singapore Story by examining how the novel challenges hegemonic or dominant master-narratives. It mounts a critical enquiry into Singaporean historiography – in particular, the post-1965 political mythologies that dominate Singapore’s cultural space. Building on Foucault’s treatise on the co-relation between power and knowledge, this project will closely examine Liew’s work, reading it as an example of resistance against efforts to monopolise history and memory. In addition to Foucault, the project will draw on the work of Jameson, Benjamin, Hutcheon and also on a number of Singaporean scholars. Taking Liew’s work as a touchstone, this project examines the articulation of counter-histories within the literary arts as a tool for preserving the integrity of collective memory and for preventing suppressed moments of national historical consciousness from slipping into oblivion. This project is a timely intervention in these uncertain times where, increasingly, questions of truth and history become embroiled with struggles over politics and power.</w:t>
      </w:r>
    </w:p>
    <w:p w14:paraId="7E2E52A4" w14:textId="77777777" w:rsidR="0048524B" w:rsidRDefault="0048524B"/>
    <w:p w14:paraId="58715B9E" w14:textId="77777777" w:rsidR="00B46DD6" w:rsidRDefault="00B46DD6">
      <w:pPr>
        <w:rPr>
          <w:b/>
          <w:noProof/>
        </w:rPr>
      </w:pPr>
      <w:r>
        <w:rPr>
          <w:b/>
          <w:noProof/>
        </w:rPr>
        <w:br w:type="page"/>
      </w:r>
    </w:p>
    <w:p w14:paraId="68B9FDA9" w14:textId="28D22E37" w:rsidR="00B46DD6" w:rsidRDefault="00B53F99" w:rsidP="00174C00">
      <w:pPr>
        <w:pStyle w:val="Heading1"/>
      </w:pPr>
      <w:r>
        <w:lastRenderedPageBreak/>
        <w:t xml:space="preserve">Panel 13D: </w:t>
      </w:r>
      <w:r w:rsidR="00174C00" w:rsidRPr="00174C00">
        <w:t>Representations of Women</w:t>
      </w:r>
    </w:p>
    <w:p w14:paraId="2243C7FA" w14:textId="77777777" w:rsidR="00174C00" w:rsidRPr="00174C00" w:rsidRDefault="00174C00" w:rsidP="00174C00"/>
    <w:p w14:paraId="52255C0E" w14:textId="4358B178" w:rsidR="0048524B" w:rsidRDefault="0048524B">
      <w:r w:rsidRPr="002E1C1E">
        <w:rPr>
          <w:b/>
          <w:noProof/>
        </w:rPr>
        <w:t>Teagan</w:t>
      </w:r>
      <w:r w:rsidRPr="008357DE">
        <w:rPr>
          <w:b/>
        </w:rPr>
        <w:t xml:space="preserve"> </w:t>
      </w:r>
      <w:r w:rsidRPr="002E1C1E">
        <w:rPr>
          <w:b/>
          <w:noProof/>
        </w:rPr>
        <w:t>Currey</w:t>
      </w:r>
      <w:r w:rsidRPr="008357DE">
        <w:rPr>
          <w:b/>
        </w:rPr>
        <w:t xml:space="preserve"> </w:t>
      </w:r>
      <w:r>
        <w:rPr>
          <w:b/>
        </w:rPr>
        <w:t xml:space="preserve"> </w:t>
      </w:r>
      <w:r w:rsidRPr="008357DE">
        <w:t>(</w:t>
      </w:r>
      <w:r>
        <w:rPr>
          <w:noProof/>
        </w:rPr>
        <w:t>Monash University Australia</w:t>
      </w:r>
      <w:r w:rsidR="00174C00">
        <w:t>)</w:t>
      </w:r>
    </w:p>
    <w:p w14:paraId="7E49764D" w14:textId="77777777" w:rsidR="0048524B" w:rsidRDefault="0048524B">
      <w:pPr>
        <w:rPr>
          <w:i/>
        </w:rPr>
      </w:pPr>
      <w:r w:rsidRPr="002E1C1E">
        <w:rPr>
          <w:i/>
          <w:noProof/>
        </w:rPr>
        <w:t>The Empress Matilda and Matilda of Boulogne: The indomitable royal women at the centre of the anarchy</w:t>
      </w:r>
    </w:p>
    <w:p w14:paraId="634C536B" w14:textId="77777777" w:rsidR="0048524B" w:rsidRDefault="0048524B">
      <w:r>
        <w:rPr>
          <w:noProof/>
        </w:rPr>
        <w:t>This paper offers a side-by-side comparison and reinterpretation of the Empress Matilda and Queen Matilda of Boulogne. It will examine the roles they played and how they challenged and redefined traditional roles and systems in place in twelfth-century England. It will compare their military involvement, their governance and their religious and cultural patronage during their time in power, as well as question how and why these women were evaluated differently by chroniclers at the time. During the English Civil War of the 1100s, these two women went above and beyond their duties: the Empress fighting for her rights as heir to the throne and the Queen, as wife of King Stephen, fighting against her. I will draw upon English Chronicles of the Anglo-Norman period that provide insights into the two women’s actions, skills and perceived personality traits. Charters and other government documents will also be useful to provide evidence of their decision making and political strategy. While the chronicles will serve as a main source of information, they will also be used to reveal the personal bias of the authors and the larger English society. Using these sources of evidence, I will present a new comparison study of these two incredible women, with a focus on their differing status and motives. These women will have the spotlight shone firmly on them after centuries of research devoted to King Stephen, with the Queen and the Empress only enjoying minimal focus within his narrative.</w:t>
      </w:r>
    </w:p>
    <w:p w14:paraId="02291BFF" w14:textId="77777777" w:rsidR="0048524B" w:rsidRDefault="0048524B"/>
    <w:p w14:paraId="7E23BD3B" w14:textId="5C3EED49" w:rsidR="0048524B" w:rsidRDefault="0048524B">
      <w:r w:rsidRPr="002E1C1E">
        <w:rPr>
          <w:b/>
          <w:noProof/>
        </w:rPr>
        <w:t>Ellen</w:t>
      </w:r>
      <w:r w:rsidRPr="008357DE">
        <w:rPr>
          <w:b/>
        </w:rPr>
        <w:t xml:space="preserve"> </w:t>
      </w:r>
      <w:r w:rsidRPr="002E1C1E">
        <w:rPr>
          <w:b/>
          <w:noProof/>
        </w:rPr>
        <w:t>Nichols</w:t>
      </w:r>
      <w:r w:rsidRPr="008357DE">
        <w:rPr>
          <w:b/>
        </w:rPr>
        <w:t xml:space="preserve"> </w:t>
      </w:r>
      <w:r>
        <w:rPr>
          <w:b/>
        </w:rPr>
        <w:t xml:space="preserve"> </w:t>
      </w:r>
      <w:r w:rsidRPr="008357DE">
        <w:t>(</w:t>
      </w:r>
      <w:r>
        <w:rPr>
          <w:noProof/>
        </w:rPr>
        <w:t>Monash University Australia</w:t>
      </w:r>
      <w:r w:rsidR="00174C00">
        <w:t>)</w:t>
      </w:r>
    </w:p>
    <w:p w14:paraId="3C1F7819" w14:textId="77777777" w:rsidR="0048524B" w:rsidRDefault="0048524B">
      <w:pPr>
        <w:rPr>
          <w:i/>
        </w:rPr>
      </w:pPr>
      <w:r w:rsidRPr="002E1C1E">
        <w:rPr>
          <w:i/>
          <w:noProof/>
        </w:rPr>
        <w:t>International Women: Global parliaments and female representation</w:t>
      </w:r>
    </w:p>
    <w:p w14:paraId="1E4F24A3" w14:textId="77777777" w:rsidR="0048524B" w:rsidRDefault="0048524B" w:rsidP="00AC7DBF">
      <w:pPr>
        <w:rPr>
          <w:noProof/>
        </w:rPr>
      </w:pPr>
      <w:r>
        <w:rPr>
          <w:noProof/>
        </w:rPr>
        <w:t>Women, historically excluded from voting and participating in politics, are beginning to gain representation in parliaments across the world. Through higher levels of women in parliament, countries are able to amplify and legitimise the experiences of women. Representation is vital for fair and non-discriminatory legislation, especially in regard to civil rights (such as divorce, reproductive rights and maternity leave). The levels of female representation in Western nations have fluctuated greatly over the past decade, despite Australia experiencing a continued increase in the number of female parliamentarians. Conversely, nations in Asia and the Pacific, as well as those in Africa and the Middle East, have demonstrated a fairly constant increase.</w:t>
      </w:r>
    </w:p>
    <w:p w14:paraId="5D3D349D" w14:textId="77777777" w:rsidR="0048524B" w:rsidRDefault="0048524B">
      <w:r>
        <w:rPr>
          <w:noProof/>
        </w:rPr>
        <w:t>As Western nations have typically held themselves to the standard of improving social and economic conditions for their non-Western counterparts, their lack of gender equality in parliament is particularly interesting. Through a comparative study of parliamentary data from Rwanda, Australia, Cuba, Papua New Guinea, Japan, The United States and France, this paper will examine the differences between Western and non-Western countries in implementing and achieving equal representation of women in parliament. Firstly, by evaluating the length of time it has taken nations to achieve the level of representation they currently have. Secondly, by contrasting the differences between the social culture of countries being examined. Thirdly, by evaluating the future potential of countries to achieve higher representation and the likelihood of sustained representation. Finally, by suggesting ways in which countries with lower representation are able to increase it.</w:t>
      </w:r>
    </w:p>
    <w:p w14:paraId="11922EF5" w14:textId="2FBD365D" w:rsidR="0048524B" w:rsidRDefault="0048524B">
      <w:r w:rsidRPr="002E1C1E">
        <w:rPr>
          <w:b/>
          <w:noProof/>
        </w:rPr>
        <w:lastRenderedPageBreak/>
        <w:t>Shreya</w:t>
      </w:r>
      <w:r w:rsidRPr="008357DE">
        <w:rPr>
          <w:b/>
        </w:rPr>
        <w:t xml:space="preserve"> </w:t>
      </w:r>
      <w:r w:rsidRPr="002E1C1E">
        <w:rPr>
          <w:b/>
          <w:noProof/>
        </w:rPr>
        <w:t>Agrawal</w:t>
      </w:r>
      <w:r w:rsidRPr="008357DE">
        <w:rPr>
          <w:b/>
        </w:rPr>
        <w:t xml:space="preserve"> </w:t>
      </w:r>
      <w:r>
        <w:rPr>
          <w:b/>
        </w:rPr>
        <w:t xml:space="preserve"> </w:t>
      </w:r>
      <w:r w:rsidRPr="008357DE">
        <w:t>(</w:t>
      </w:r>
      <w:r>
        <w:rPr>
          <w:noProof/>
        </w:rPr>
        <w:t>NTU</w:t>
      </w:r>
      <w:r w:rsidR="00174C00">
        <w:t>)</w:t>
      </w:r>
    </w:p>
    <w:p w14:paraId="30203ADB" w14:textId="77777777" w:rsidR="0048524B" w:rsidRDefault="0048524B">
      <w:pPr>
        <w:rPr>
          <w:i/>
        </w:rPr>
      </w:pPr>
      <w:r w:rsidRPr="002E1C1E">
        <w:rPr>
          <w:i/>
          <w:noProof/>
        </w:rPr>
        <w:t>Digital Humanities, Religious Minorities and Gender</w:t>
      </w:r>
    </w:p>
    <w:p w14:paraId="5F7EB2D5" w14:textId="77777777" w:rsidR="0048524B" w:rsidRDefault="0048524B" w:rsidP="00AC7DBF">
      <w:pPr>
        <w:rPr>
          <w:noProof/>
        </w:rPr>
      </w:pPr>
      <w:r>
        <w:rPr>
          <w:noProof/>
        </w:rPr>
        <w:t>This study aims to trace references to religious minorities during the period ranging from Samuel Richardson’s Pamela (1740) to Charlotte Brontë’s Jane Eyre (1847) in online databases such as the Eighteenth Century Collections Online (ECCO) and Nineteenth Century Collections Online (NCCO) that form the digital humanities aspect of this project. Digital humanities is an emerging field that puts huge amounts of data and traditional humanistic interpretation in fruitful conversation. During this study, several keyword searches were conducted, and with the help of the graphing tools that were available on NCCO, I used traditional literary analysis to sift through the findings and to interpret the most relevant references. Both Jane Eyre and Pamela feature heroines who come from a socially disadvantaged background, are employees at their future husbands’ houses and ultimately culminate in cross-class marriages. For this project, I focused on the question of why two influential and Anglocentric novels included references to the religious minorities of Quakers and Muslims when the eponymous heroines were negotiating the conditions of their marriages to higher-status men. What would references to Quakers and Muslims have meant to Richardson’s and Brontë’s contemporaneous readers, and how do these references inflect social anxiety about marriage, reproduction, social mobility and the transmission of property? Essentially, high-status men’s property was represented as protected because the virtue of their lower-status wives was rendered unimpeachable by contrasting Jane and Pamela with the more dangerous threat of religious minorities.</w:t>
      </w:r>
    </w:p>
    <w:p w14:paraId="1A9F75F7" w14:textId="77777777" w:rsidR="0048524B" w:rsidRDefault="0048524B">
      <w:r>
        <w:rPr>
          <w:noProof/>
        </w:rPr>
        <w:t>Keywords: Feminism, digital humanities, orientalism, imperialism, religious minorities</w:t>
      </w:r>
    </w:p>
    <w:p w14:paraId="727D3D60" w14:textId="77777777" w:rsidR="0048524B" w:rsidRDefault="0048524B"/>
    <w:p w14:paraId="49A87201" w14:textId="61771593" w:rsidR="0048524B" w:rsidRDefault="0048524B">
      <w:r w:rsidRPr="002E1C1E">
        <w:rPr>
          <w:b/>
          <w:noProof/>
        </w:rPr>
        <w:t>Priyaa</w:t>
      </w:r>
      <w:r w:rsidRPr="008357DE">
        <w:rPr>
          <w:b/>
        </w:rPr>
        <w:t xml:space="preserve"> </w:t>
      </w:r>
      <w:r w:rsidRPr="002E1C1E">
        <w:rPr>
          <w:b/>
          <w:noProof/>
        </w:rPr>
        <w:t>Nedunzeliyan</w:t>
      </w:r>
      <w:r w:rsidRPr="008357DE">
        <w:rPr>
          <w:b/>
        </w:rPr>
        <w:t xml:space="preserve"> </w:t>
      </w:r>
      <w:r>
        <w:rPr>
          <w:b/>
        </w:rPr>
        <w:t xml:space="preserve"> </w:t>
      </w:r>
      <w:r w:rsidRPr="008357DE">
        <w:t>(</w:t>
      </w:r>
      <w:r>
        <w:rPr>
          <w:noProof/>
        </w:rPr>
        <w:t>NTU</w:t>
      </w:r>
      <w:r w:rsidR="00174C00">
        <w:t>)</w:t>
      </w:r>
    </w:p>
    <w:p w14:paraId="5E2A5A04" w14:textId="77777777" w:rsidR="0048524B" w:rsidRDefault="0048524B">
      <w:pPr>
        <w:rPr>
          <w:i/>
        </w:rPr>
      </w:pPr>
      <w:r w:rsidRPr="002E1C1E">
        <w:rPr>
          <w:i/>
          <w:noProof/>
        </w:rPr>
        <w:t>SoH17039 – Feminist Revisionist Works and the Concept of Modern Feminine Subjectivity</w:t>
      </w:r>
    </w:p>
    <w:p w14:paraId="19CC3A80" w14:textId="77777777" w:rsidR="0048524B" w:rsidRDefault="0048524B">
      <w:r>
        <w:rPr>
          <w:noProof/>
        </w:rPr>
        <w:t>By examining the roles played by canonical literary female protagonists, this project explores how, despite efforts to portray women as separate from their gender roles, often conventional novels ultimately seem to merely measure female protagonists up against masculine qualities while simultaneously opposing traditional feminine traits. Some aspects of female character development offered in Jane Austen’s Pride and Prejudice and selected works of J. K. Rowling’s Harry Potter series exhibit influence of aforementioned Western feminism and are well-supported through literary criticism. This project will clarify how, while not noticeably flawed, such character development only further serves to constrict female literary characters within gendered and, by extension, patriarchal parameters. By considering theories of modern feminine subjectivity and the subject of intersectionality put forth by authorities such as Mary Wollstonecraft, Virginia Woolf and Simone de Beauvoir, this paper argues that the aversion to femininity and roles associated with the female gender is not necessary to construct a good modern female protagonist. In addition, as a non-Western work, Chitra Banerjee’s The Palace of Illusions will be used to interpret feminism outside of the Western sphere. Taking into account the different literary periods and different representative society, this project seeks to reaffirm that the historical timeline of shifting feminisms is proof that feminism cannot be contained within a monolithic definition.</w:t>
      </w:r>
    </w:p>
    <w:p w14:paraId="4AECFB52" w14:textId="77777777" w:rsidR="0048524B" w:rsidRDefault="0048524B"/>
    <w:p w14:paraId="705749E8" w14:textId="77777777" w:rsidR="00174C00" w:rsidRDefault="00174C00">
      <w:pPr>
        <w:rPr>
          <w:b/>
          <w:noProof/>
        </w:rPr>
      </w:pPr>
      <w:r>
        <w:rPr>
          <w:b/>
          <w:noProof/>
        </w:rPr>
        <w:br w:type="page"/>
      </w:r>
    </w:p>
    <w:p w14:paraId="2A953EB2" w14:textId="40204150" w:rsidR="00174C00" w:rsidRDefault="00174C00" w:rsidP="0062750E">
      <w:pPr>
        <w:pStyle w:val="Heading1"/>
      </w:pPr>
      <w:r>
        <w:lastRenderedPageBreak/>
        <w:t xml:space="preserve">Panel 14A: </w:t>
      </w:r>
      <w:r w:rsidR="0062750E" w:rsidRPr="0062750E">
        <w:t>The Natural World</w:t>
      </w:r>
    </w:p>
    <w:p w14:paraId="30766E6F" w14:textId="77777777" w:rsidR="0062750E" w:rsidRPr="0062750E" w:rsidRDefault="0062750E" w:rsidP="0062750E"/>
    <w:p w14:paraId="007242D3" w14:textId="60ABE63A" w:rsidR="0048524B" w:rsidRDefault="0048524B">
      <w:r w:rsidRPr="002E1C1E">
        <w:rPr>
          <w:b/>
          <w:noProof/>
        </w:rPr>
        <w:t>Nanami</w:t>
      </w:r>
      <w:r w:rsidRPr="008357DE">
        <w:rPr>
          <w:b/>
        </w:rPr>
        <w:t xml:space="preserve"> </w:t>
      </w:r>
      <w:r w:rsidRPr="002E1C1E">
        <w:rPr>
          <w:b/>
          <w:noProof/>
        </w:rPr>
        <w:t>Machihara</w:t>
      </w:r>
      <w:r w:rsidRPr="008357DE">
        <w:rPr>
          <w:b/>
        </w:rPr>
        <w:t xml:space="preserve"> </w:t>
      </w:r>
      <w:r>
        <w:rPr>
          <w:b/>
        </w:rPr>
        <w:t xml:space="preserve"> </w:t>
      </w:r>
      <w:r>
        <w:t>(Kyushu University, Japan</w:t>
      </w:r>
      <w:r w:rsidR="0062750E">
        <w:t>)</w:t>
      </w:r>
    </w:p>
    <w:p w14:paraId="3A7A3773" w14:textId="77777777" w:rsidR="0048524B" w:rsidRDefault="0048524B">
      <w:pPr>
        <w:rPr>
          <w:i/>
        </w:rPr>
      </w:pPr>
      <w:r w:rsidRPr="002E1C1E">
        <w:rPr>
          <w:i/>
          <w:noProof/>
        </w:rPr>
        <w:t>Application of Disaster Historical Records to Regional Disaster Management Studies</w:t>
      </w:r>
    </w:p>
    <w:p w14:paraId="7DAE035A" w14:textId="77777777" w:rsidR="0048524B" w:rsidRDefault="0048524B">
      <w:r>
        <w:rPr>
          <w:noProof/>
        </w:rPr>
        <w:t>Sediment disasters have occurred in many parts of Japan since ancient times, and sometimes the records of such disasters are saved in old local documents. The target area of this research is at the foot of Mt Minou in Ukiha City, Fukuoka, Japan. Many places are designated as a sediment disaster on the hazard map in this area. However, some residents do not know about the past disasters and risks of sediment disaster in their place of residence. The main theme of this research is to try to improve resident disaster prevention consciousness by learning about disaster records, which have been extracted from old documents conveyed to Ukiha City. The process involved gathering information in the old documents, organising disaster learning meetings for residents in target areas, and conducting a questionnaire survey. From these steps, it was found that historical disaster records are effective for disaster prevention activities. In addition, it has the possibility to be applied further to regional disaster management.</w:t>
      </w:r>
    </w:p>
    <w:p w14:paraId="17C3916E" w14:textId="77777777" w:rsidR="0048524B" w:rsidRDefault="0048524B"/>
    <w:p w14:paraId="44AED4A5" w14:textId="0E2D755B" w:rsidR="0048524B" w:rsidRDefault="0048524B">
      <w:r w:rsidRPr="002E1C1E">
        <w:rPr>
          <w:b/>
          <w:noProof/>
        </w:rPr>
        <w:t>Maria</w:t>
      </w:r>
      <w:r w:rsidRPr="008357DE">
        <w:rPr>
          <w:b/>
        </w:rPr>
        <w:t xml:space="preserve"> </w:t>
      </w:r>
      <w:r w:rsidRPr="002E1C1E">
        <w:rPr>
          <w:b/>
          <w:noProof/>
        </w:rPr>
        <w:t>Kinjo</w:t>
      </w:r>
      <w:r w:rsidRPr="008357DE">
        <w:rPr>
          <w:b/>
        </w:rPr>
        <w:t xml:space="preserve"> </w:t>
      </w:r>
      <w:r>
        <w:rPr>
          <w:b/>
        </w:rPr>
        <w:t xml:space="preserve"> </w:t>
      </w:r>
      <w:r>
        <w:t>(Kyushu University, Japan</w:t>
      </w:r>
      <w:r w:rsidR="0062750E">
        <w:t>)</w:t>
      </w:r>
    </w:p>
    <w:p w14:paraId="216171DF" w14:textId="77777777" w:rsidR="00E14123" w:rsidRPr="00E14123" w:rsidRDefault="00E14123" w:rsidP="00E14123">
      <w:r w:rsidRPr="00E14123">
        <w:t>Effects of artificial light on plant production</w:t>
      </w:r>
    </w:p>
    <w:p w14:paraId="36D34C2F" w14:textId="77777777" w:rsidR="0048524B" w:rsidRDefault="0048524B">
      <w:r>
        <w:rPr>
          <w:noProof/>
        </w:rPr>
        <w:t>The artificial light plant factory is a system that grows vegetables by controlling the environment. Growers have obtained a higher yield of vegetables by giving a weaker light for a long time, but there is the problem of light damage due to long-day conditions. In recent years, however, high-brightness LEDs have developed and it has become possible to grow plants with a strong light. So this study measured the influence on the yield and quality of plants by irradiation in order to investigate the optimal light conditions of efficient plant production. In this experiment, Komatsuna, spinach, leaf lettuce and sweet basil were planted under the conditions of long-day weak light and short-day strong light where the light intensity is twice as high and the time is halved for the latter condition. The maximum leaf length, fresh weight, dry weight and ascorbic acid content of the vegetables showed different results. In Komatsuna and leaf lettuce, the yield was higher when raised with long-day weak light, but they showed a disorder in which the leaves curved to the front side in Komatsuna were seen. On the other hand, there was no significant difference in sweet basil. In spinach, poor growth plant occurred under long-day weak light conditions. Thus, it was found that, although there is a clear difference in growth by changing the light conditions, it depends on the species of plants.</w:t>
      </w:r>
    </w:p>
    <w:p w14:paraId="631E74B3" w14:textId="77777777" w:rsidR="0048524B" w:rsidRDefault="0048524B"/>
    <w:p w14:paraId="226FEEC4" w14:textId="57A83E87" w:rsidR="0048524B" w:rsidRDefault="0048524B">
      <w:r w:rsidRPr="002E1C1E">
        <w:rPr>
          <w:b/>
          <w:noProof/>
        </w:rPr>
        <w:t>Jenna</w:t>
      </w:r>
      <w:r w:rsidRPr="008357DE">
        <w:rPr>
          <w:b/>
        </w:rPr>
        <w:t xml:space="preserve"> </w:t>
      </w:r>
      <w:r w:rsidRPr="002E1C1E">
        <w:rPr>
          <w:b/>
          <w:noProof/>
        </w:rPr>
        <w:t>Barker,</w:t>
      </w:r>
      <w:r w:rsidRPr="008357DE">
        <w:rPr>
          <w:b/>
        </w:rPr>
        <w:t xml:space="preserve"> </w:t>
      </w:r>
      <w:r w:rsidRPr="002E1C1E">
        <w:rPr>
          <w:b/>
          <w:noProof/>
        </w:rPr>
        <w:t>Carlos Jones, Kara Robinson, Kate Purcell and Sharniqua Scott</w:t>
      </w:r>
      <w:r>
        <w:rPr>
          <w:b/>
        </w:rPr>
        <w:t xml:space="preserve"> </w:t>
      </w:r>
      <w:r w:rsidRPr="008357DE">
        <w:t>(</w:t>
      </w:r>
      <w:r>
        <w:rPr>
          <w:noProof/>
        </w:rPr>
        <w:t>Monash University Australia</w:t>
      </w:r>
      <w:r w:rsidR="0062750E">
        <w:t>)</w:t>
      </w:r>
    </w:p>
    <w:p w14:paraId="3B2792B8" w14:textId="77777777" w:rsidR="0048524B" w:rsidRDefault="0048524B">
      <w:pPr>
        <w:rPr>
          <w:i/>
        </w:rPr>
      </w:pPr>
      <w:r w:rsidRPr="002E1C1E">
        <w:rPr>
          <w:i/>
          <w:noProof/>
        </w:rPr>
        <w:t>Water Supply in a Rural Community in Malaysia: Orang Asli community perceptions and attitudes to issues of water access, quality, cost and satisfaction</w:t>
      </w:r>
    </w:p>
    <w:p w14:paraId="78347B8D" w14:textId="77777777" w:rsidR="0048524B" w:rsidRDefault="0048524B">
      <w:r>
        <w:rPr>
          <w:noProof/>
        </w:rPr>
        <w:t xml:space="preserve">There has been a lot of academic research and discussion about water provision in urban and rural Malaysia and how ethnicity and class can affect water access, quality and quantity. Yet with water management policy occurring on a national level, there is a need to understand how water in rural </w:t>
      </w:r>
      <w:r>
        <w:rPr>
          <w:noProof/>
        </w:rPr>
        <w:lastRenderedPageBreak/>
        <w:t>communities at the local level is tied into livelihoods and how perceptions of accessibility are influenced by ethnicity. This research aims to address these issues by focusing on an Orang Asli (Indigenous minority) community in the State of Johor on the Malaysian Peninsula. The different types of water available, the strategies of the community to pay for water, their levels of satisfaction and the current uses of water for human consumption, domestic use and agriculture will be assessed. This research will draw on the Sustainable Livelihoods Framework, which is an asset-based approach that balances strong livelihood outcomes and environmental sustainability. Data will be collected via a range of field methods, including household interviews, focus groups, infrastructure surveying and community mapping of water access. Results from the research will provide previously unavailable information on the water access, community perceptions and satisfaction of water supplies in Orang Asli communities. This study will also provide data that can better inform government policies and water resource management bodies when considering water provision in rural, Indigenous communities of Malaysia.</w:t>
      </w:r>
    </w:p>
    <w:p w14:paraId="1074C0D8" w14:textId="77777777" w:rsidR="0048524B" w:rsidRDefault="0048524B"/>
    <w:p w14:paraId="6A16D23E" w14:textId="2C2614ED" w:rsidR="0048524B" w:rsidRDefault="0048524B">
      <w:r w:rsidRPr="002E1C1E">
        <w:rPr>
          <w:b/>
          <w:noProof/>
        </w:rPr>
        <w:t>Audrey Miranda</w:t>
      </w:r>
      <w:r w:rsidRPr="008357DE">
        <w:rPr>
          <w:b/>
        </w:rPr>
        <w:t xml:space="preserve"> </w:t>
      </w:r>
      <w:r w:rsidRPr="002E1C1E">
        <w:rPr>
          <w:b/>
          <w:noProof/>
        </w:rPr>
        <w:t>Prasetya</w:t>
      </w:r>
      <w:r w:rsidRPr="008357DE">
        <w:rPr>
          <w:b/>
        </w:rPr>
        <w:t xml:space="preserve"> </w:t>
      </w:r>
      <w:r>
        <w:rPr>
          <w:b/>
        </w:rPr>
        <w:t xml:space="preserve"> </w:t>
      </w:r>
      <w:r w:rsidRPr="008357DE">
        <w:t>(</w:t>
      </w:r>
      <w:r>
        <w:rPr>
          <w:noProof/>
        </w:rPr>
        <w:t>Monash University Australia</w:t>
      </w:r>
      <w:r w:rsidR="0062750E">
        <w:t>)</w:t>
      </w:r>
    </w:p>
    <w:p w14:paraId="088C8213" w14:textId="77777777" w:rsidR="0048524B" w:rsidRDefault="0048524B">
      <w:pPr>
        <w:rPr>
          <w:i/>
        </w:rPr>
      </w:pPr>
      <w:r w:rsidRPr="002E1C1E">
        <w:rPr>
          <w:i/>
          <w:noProof/>
        </w:rPr>
        <w:t>Fifty+ Shades of Yellow and Red – Diversity in bird colours</w:t>
      </w:r>
    </w:p>
    <w:p w14:paraId="1166B573" w14:textId="77777777" w:rsidR="0048524B" w:rsidRDefault="0048524B" w:rsidP="00AC7DBF">
      <w:pPr>
        <w:rPr>
          <w:noProof/>
        </w:rPr>
      </w:pPr>
      <w:r>
        <w:rPr>
          <w:noProof/>
        </w:rPr>
        <w:t>There are over 50 shades of reds and yellows found in birds. Although the basis of colour production in all birds are similar, colour varies between and within species. Carotenoid pigments produce red and yellow feathers and are the second most important colour pigment, yet only obtainable through diet. Furthermore, birds are present throughout Australia and are exposed to different challenges that vary throughout space, leading to local adaptations. At a larger scale, adaptations can form patterns that can be explained by ‘biogeographical rules’. And, although through a literature review it is possible to predict this geographic pattern in carotenoid-based colouration, no large-scale test has been done thus far.</w:t>
      </w:r>
    </w:p>
    <w:p w14:paraId="2C4BA624" w14:textId="77777777" w:rsidR="0048524B" w:rsidRDefault="0048524B" w:rsidP="00AC7DBF">
      <w:pPr>
        <w:rPr>
          <w:noProof/>
        </w:rPr>
      </w:pPr>
      <w:r>
        <w:rPr>
          <w:noProof/>
        </w:rPr>
        <w:t>We aim to describe geographic patterns of carotenoid-based colouration in Australian birds and to test their links with environmental factors (e.g. rainfall, temperature). Specific red or yellow patches will be measured using a spectrometer and then combined with environmental data to investigate the pattern and correlations. We predict that yellow and red will be more intense closer to the equator, in areas of high rainfall and temperature, as it is likely to be correlated with plant productivity.</w:t>
      </w:r>
    </w:p>
    <w:p w14:paraId="6D3170BE" w14:textId="77777777" w:rsidR="0048524B" w:rsidRDefault="0048524B">
      <w:r>
        <w:rPr>
          <w:noProof/>
        </w:rPr>
        <w:t>Geographic patterns of colour variation are a potential starting point of population divergence. Also, links between colouration patterns and environmental variables will reveal past climate adaptation that can help predict potential for future adaptive responses. And with the accelerating rate of global change, it is essential to identify who can, and how to adapt to it.</w:t>
      </w:r>
    </w:p>
    <w:p w14:paraId="1CBF15AC" w14:textId="77777777" w:rsidR="0048524B" w:rsidRDefault="0048524B"/>
    <w:p w14:paraId="050A378F" w14:textId="77777777" w:rsidR="00A344EF" w:rsidRDefault="00A344EF">
      <w:pPr>
        <w:rPr>
          <w:b/>
          <w:noProof/>
        </w:rPr>
      </w:pPr>
      <w:r>
        <w:rPr>
          <w:b/>
          <w:noProof/>
        </w:rPr>
        <w:br w:type="page"/>
      </w:r>
    </w:p>
    <w:p w14:paraId="112BA636" w14:textId="0EC5C079" w:rsidR="00A344EF" w:rsidRDefault="00A344EF" w:rsidP="00A344EF">
      <w:pPr>
        <w:pStyle w:val="Heading1"/>
      </w:pPr>
      <w:r>
        <w:lastRenderedPageBreak/>
        <w:t xml:space="preserve">Panel 14B: </w:t>
      </w:r>
      <w:r w:rsidRPr="00A344EF">
        <w:t>Social Media and Creativity</w:t>
      </w:r>
    </w:p>
    <w:p w14:paraId="5375A1A5" w14:textId="77777777" w:rsidR="00A344EF" w:rsidRPr="00A344EF" w:rsidRDefault="00A344EF" w:rsidP="00A344EF"/>
    <w:p w14:paraId="69AF29A5" w14:textId="3D4F9E5E" w:rsidR="0048524B" w:rsidRDefault="0048524B">
      <w:r w:rsidRPr="002E1C1E">
        <w:rPr>
          <w:b/>
          <w:noProof/>
        </w:rPr>
        <w:t>Ashling</w:t>
      </w:r>
      <w:r w:rsidRPr="008357DE">
        <w:rPr>
          <w:b/>
        </w:rPr>
        <w:t xml:space="preserve"> </w:t>
      </w:r>
      <w:r w:rsidRPr="002E1C1E">
        <w:rPr>
          <w:b/>
          <w:noProof/>
        </w:rPr>
        <w:t>Morone</w:t>
      </w:r>
      <w:r w:rsidRPr="008357DE">
        <w:rPr>
          <w:b/>
        </w:rPr>
        <w:t xml:space="preserve"> </w:t>
      </w:r>
      <w:r>
        <w:rPr>
          <w:b/>
        </w:rPr>
        <w:t xml:space="preserve"> </w:t>
      </w:r>
      <w:r w:rsidRPr="008357DE">
        <w:t>(</w:t>
      </w:r>
      <w:r>
        <w:rPr>
          <w:noProof/>
        </w:rPr>
        <w:t>Monash University Australia</w:t>
      </w:r>
      <w:r w:rsidR="004B183B">
        <w:t>)</w:t>
      </w:r>
    </w:p>
    <w:p w14:paraId="7FDD87B0" w14:textId="77777777" w:rsidR="0048524B" w:rsidRDefault="0048524B">
      <w:pPr>
        <w:rPr>
          <w:i/>
        </w:rPr>
      </w:pPr>
      <w:r w:rsidRPr="002E1C1E">
        <w:rPr>
          <w:i/>
          <w:noProof/>
        </w:rPr>
        <w:t>Facebook Commenter’s Opinions of Climate Issues in the Australian News</w:t>
      </w:r>
    </w:p>
    <w:p w14:paraId="70AB6897" w14:textId="77777777" w:rsidR="0048524B" w:rsidRDefault="0048524B" w:rsidP="00AC7DBF">
      <w:pPr>
        <w:rPr>
          <w:noProof/>
        </w:rPr>
      </w:pPr>
      <w:r>
        <w:rPr>
          <w:noProof/>
        </w:rPr>
        <w:t>As the world grapples with how to deal with climate change, an important issue that has emerged is the divergence in public opinion on the subject. Social media commenters often hold passionate opinions on climate change; however, there seems to be a common lack of scientific understanding that exists among these commenters. In my research, I conducted a content analysis of Facebook comments on the topic in response to Australian online news articles to investigate the subsequent online public discourse. Facebook comments in response to articles that mention ‘climate change’ or ‘global warming’ from November 2017 from popular Australian news sites were collected and analysed. Of the thousands of comments collected, 605 comments demonstrated a clear view on climate change, 330 (55 per cent) demonstrated climate change belief, while 275 (45 per cent) demonstrated climate change scepticism/denialism. The results of the content analysis indicate that there is a lack of understanding of climate science in the public discourse across both people expressing climate change scepticism/denialism and people expressing climate change belief. Comparison with a large-scale public opinion survey showed that climate change sceptic/denialist views seemed to be over-represented in the public social media discourse. This indicates that people who hold these views are more vocal in online spaces giving the impression that they number more than they do. Consequently, policymakers and media organisations need to keep in mind that the online public discourse does not necessarily reflect public opinion when creating policy regarding climate change or reporting on climate change.</w:t>
      </w:r>
    </w:p>
    <w:p w14:paraId="7AD85A38" w14:textId="77777777" w:rsidR="0048524B" w:rsidRDefault="0048524B">
      <w:r>
        <w:rPr>
          <w:noProof/>
        </w:rPr>
        <w:t>Keywords: Climate change, online reader comments, content analysis, social media users, public discourse</w:t>
      </w:r>
    </w:p>
    <w:p w14:paraId="590A0FCD" w14:textId="77777777" w:rsidR="0048524B" w:rsidRDefault="0048524B"/>
    <w:p w14:paraId="720D163E" w14:textId="3D574258" w:rsidR="0048524B" w:rsidRDefault="0048524B">
      <w:r w:rsidRPr="002E1C1E">
        <w:rPr>
          <w:b/>
          <w:noProof/>
        </w:rPr>
        <w:t>Caitie</w:t>
      </w:r>
      <w:r w:rsidRPr="008357DE">
        <w:rPr>
          <w:b/>
        </w:rPr>
        <w:t xml:space="preserve"> </w:t>
      </w:r>
      <w:r w:rsidRPr="002E1C1E">
        <w:rPr>
          <w:b/>
          <w:noProof/>
        </w:rPr>
        <w:t>Batten,</w:t>
      </w:r>
      <w:r w:rsidRPr="008357DE">
        <w:rPr>
          <w:b/>
        </w:rPr>
        <w:t xml:space="preserve"> </w:t>
      </w:r>
      <w:r w:rsidRPr="002E1C1E">
        <w:rPr>
          <w:b/>
          <w:noProof/>
        </w:rPr>
        <w:t>Lily Kennard and Rebecca Kirkham</w:t>
      </w:r>
      <w:r>
        <w:rPr>
          <w:b/>
        </w:rPr>
        <w:t xml:space="preserve"> </w:t>
      </w:r>
      <w:r w:rsidRPr="008357DE">
        <w:t>(</w:t>
      </w:r>
      <w:r>
        <w:rPr>
          <w:noProof/>
        </w:rPr>
        <w:t>Monash University Australia</w:t>
      </w:r>
      <w:r w:rsidR="004B183B">
        <w:t>)</w:t>
      </w:r>
    </w:p>
    <w:p w14:paraId="7B1B4281" w14:textId="77777777" w:rsidR="0048524B" w:rsidRDefault="0048524B">
      <w:pPr>
        <w:rPr>
          <w:i/>
        </w:rPr>
      </w:pPr>
      <w:r w:rsidRPr="002E1C1E">
        <w:rPr>
          <w:i/>
          <w:noProof/>
        </w:rPr>
        <w:t>Public Perceptions on Using VR and Mobile Apps in Mental Health Treatment</w:t>
      </w:r>
    </w:p>
    <w:p w14:paraId="5FD343F9" w14:textId="77777777" w:rsidR="0048524B" w:rsidRDefault="0048524B">
      <w:r>
        <w:rPr>
          <w:noProof/>
        </w:rPr>
        <w:t>Mental health problems affect more than 4 million Australians and contribute to a productivity loss in society that has been estimated at 11.8 billion dollars. Traditional treatment methods of medication and face-to-face therapy sessions often have limited success and are inaccessible to many. Recent advances in Virtual Reality (VR) and mobile app technologies are opening up new, non-pharmaceutical, treatment methods that are not only effective but also more affordable and accessible than conventional treatment. Due to the infancy of these treatment methods, there is a gap in the literature surrounding the public’s perceptions towards them. Our research project aims to fix this gap by surveying the public’s perceptions of and willingness to use VR and mobile apps for mental health treatment. We will be conducting surveys with members of the general public in the 18–35 age bracket by releasing the survey through different university online platforms and by going to the University of Melbourne, Swinburne, Monash and Deakin campuses to distribute the survey. Our research data will aid in the design and instruction of such treatments to ensure compliance and better treatment results. Our project will therefore contribute greatly to the field of mental health services and will lead to better patient outcomes.</w:t>
      </w:r>
    </w:p>
    <w:p w14:paraId="46E3A410" w14:textId="77777777" w:rsidR="0048524B" w:rsidRDefault="0048524B"/>
    <w:p w14:paraId="2619D647" w14:textId="509A2943" w:rsidR="0048524B" w:rsidRDefault="0048524B">
      <w:r w:rsidRPr="002E1C1E">
        <w:rPr>
          <w:b/>
          <w:noProof/>
        </w:rPr>
        <w:lastRenderedPageBreak/>
        <w:t>Alice</w:t>
      </w:r>
      <w:r w:rsidRPr="008357DE">
        <w:rPr>
          <w:b/>
        </w:rPr>
        <w:t xml:space="preserve"> </w:t>
      </w:r>
      <w:r w:rsidRPr="002E1C1E">
        <w:rPr>
          <w:b/>
          <w:noProof/>
        </w:rPr>
        <w:t>Kim</w:t>
      </w:r>
      <w:r w:rsidRPr="008357DE">
        <w:rPr>
          <w:b/>
        </w:rPr>
        <w:t xml:space="preserve"> </w:t>
      </w:r>
      <w:r>
        <w:rPr>
          <w:b/>
        </w:rPr>
        <w:t xml:space="preserve"> </w:t>
      </w:r>
      <w:r w:rsidRPr="008357DE">
        <w:t>(</w:t>
      </w:r>
      <w:r>
        <w:rPr>
          <w:noProof/>
        </w:rPr>
        <w:t>Monash University Australia</w:t>
      </w:r>
      <w:r w:rsidR="004B183B">
        <w:t>)</w:t>
      </w:r>
    </w:p>
    <w:p w14:paraId="483E1AD0" w14:textId="77777777" w:rsidR="0048524B" w:rsidRDefault="0048524B">
      <w:pPr>
        <w:rPr>
          <w:i/>
        </w:rPr>
      </w:pPr>
      <w:r w:rsidRPr="002E1C1E">
        <w:rPr>
          <w:i/>
          <w:noProof/>
        </w:rPr>
        <w:t>Fostering Creativity in Biomedical Science Education</w:t>
      </w:r>
    </w:p>
    <w:p w14:paraId="1197802C" w14:textId="77777777" w:rsidR="0048524B" w:rsidRDefault="0048524B">
      <w:r>
        <w:rPr>
          <w:noProof/>
        </w:rPr>
        <w:t>Creativity is a distinctively human trait and is the force behind many modern advancements. There are various conceptualisations of creativity (including Bloom’s taxonomy), but the consensus is that it is the process of having ideas that are original and valuable. Due to the rapid changes seen across the economy and society, creativity is highly valued and is in increasing demand by employers. To prepare students to meet this demand, many education providers have incorporated creativity into their ethos. However preliminary analysis of the graduate outcomes of the Bachelor of Biomedical Science (BMS) degree at Monash University identified no explicit reference to creativity, even though one of Monash’s Graduate Attributes is to become a creative scholar. Previous results indicated that students felt that creativity was restricted in the course but this may be due to them misunderstanding what was meant. For the workshops, a BMS unit was selected to pilot a redesign to make creative learning opportunities more explicit and to raise students’ awareness of creativity. Evaluation of the students involved highlighted an effect on their conceptions of creativity and indicated that these workshops broadened their conception of creativity and raised their awareness of creativity in the course and in science. These results indicate that explicit definition and discussion of creativity raises people’s awareness of it, aids in their ability to define and identify creativity and, when applying for jobs, be able to better communicate instances of their creativity.</w:t>
      </w:r>
    </w:p>
    <w:p w14:paraId="7C1CCCF5" w14:textId="77777777" w:rsidR="0048524B" w:rsidRDefault="0048524B"/>
    <w:p w14:paraId="77EFBCF3" w14:textId="08D0B848" w:rsidR="0048524B" w:rsidRDefault="0048524B">
      <w:r w:rsidRPr="002E1C1E">
        <w:rPr>
          <w:b/>
          <w:noProof/>
        </w:rPr>
        <w:t>Christian Bethany</w:t>
      </w:r>
      <w:r w:rsidRPr="008357DE">
        <w:rPr>
          <w:b/>
        </w:rPr>
        <w:t xml:space="preserve"> </w:t>
      </w:r>
      <w:r w:rsidRPr="002E1C1E">
        <w:rPr>
          <w:b/>
          <w:noProof/>
        </w:rPr>
        <w:t>Felix</w:t>
      </w:r>
      <w:r w:rsidRPr="008357DE">
        <w:rPr>
          <w:b/>
        </w:rPr>
        <w:t xml:space="preserve"> </w:t>
      </w:r>
      <w:r>
        <w:rPr>
          <w:b/>
        </w:rPr>
        <w:t xml:space="preserve"> </w:t>
      </w:r>
      <w:r w:rsidRPr="008357DE">
        <w:t>(</w:t>
      </w:r>
      <w:r>
        <w:rPr>
          <w:noProof/>
        </w:rPr>
        <w:t>Monash University Malaysia</w:t>
      </w:r>
      <w:r w:rsidR="004B183B">
        <w:t>)</w:t>
      </w:r>
    </w:p>
    <w:p w14:paraId="4330B07C" w14:textId="77777777" w:rsidR="0048524B" w:rsidRDefault="0048524B">
      <w:pPr>
        <w:rPr>
          <w:i/>
        </w:rPr>
      </w:pPr>
      <w:r w:rsidRPr="002E1C1E">
        <w:rPr>
          <w:i/>
          <w:noProof/>
        </w:rPr>
        <w:t>The Influence of Media Literacy on Democratic Values and Practices: A case study on university students in Bandar Sunway</w:t>
      </w:r>
    </w:p>
    <w:p w14:paraId="3DEF68C7" w14:textId="77777777" w:rsidR="0048524B" w:rsidRDefault="0048524B" w:rsidP="00AC7DBF">
      <w:pPr>
        <w:rPr>
          <w:noProof/>
        </w:rPr>
      </w:pPr>
      <w:r>
        <w:rPr>
          <w:noProof/>
        </w:rPr>
        <w:t>Malaysia has experienced its first-ever change in government after being under the same ruling coalition since its independence in 1957. After a long history of restrictive laws, high levels of imposed censorship, as well as having the reputation of having a ‘pseudo-democracy’, Malaysians now face a stark contrast in the treatment of local media by the new government, which claims to champion media freedom and has been meeting these claims since coming into office. In this new and unfamiliar era for Malaysia, engagement with the media remains a significant and valuable ability, and a useful tool in a democracy.</w:t>
      </w:r>
    </w:p>
    <w:p w14:paraId="24936B11" w14:textId="77777777" w:rsidR="0048524B" w:rsidRDefault="0048524B" w:rsidP="00AC7DBF">
      <w:pPr>
        <w:rPr>
          <w:noProof/>
        </w:rPr>
      </w:pPr>
      <w:r>
        <w:rPr>
          <w:noProof/>
        </w:rPr>
        <w:t>This research aims to investigate the relationship between media literacy, and democratic values and practices in Malaysian university students, drawing from the experiences of university students in Bandar Sunway in the context of (potentially shifting) attitudes towards media in a quickly evolving national media landscape.</w:t>
      </w:r>
    </w:p>
    <w:p w14:paraId="467F3DAC" w14:textId="77777777" w:rsidR="0048524B" w:rsidRDefault="0048524B" w:rsidP="00AC7DBF">
      <w:pPr>
        <w:rPr>
          <w:noProof/>
        </w:rPr>
      </w:pPr>
      <w:r>
        <w:rPr>
          <w:noProof/>
        </w:rPr>
        <w:t>Media literacy, within this research, is defined as the ability to critically analyse media, have awareness surrounding how media may be used to shape society, and distinguish misinformation and biases that exist within media, among other important skills. Here, democratic values are defined as seeking equality, freedom of choice and accountability, while democratic practices are defined as exercising these values daily, as well as engaging with politics.</w:t>
      </w:r>
    </w:p>
    <w:p w14:paraId="1A6DC8CD" w14:textId="77777777" w:rsidR="0048524B" w:rsidRDefault="0048524B">
      <w:r>
        <w:rPr>
          <w:noProof/>
        </w:rPr>
        <w:t>Through a combination of quantitative and qualitative data obtained from self-completion questionnaires and interviews, this research aims to identify if media literacy leads to adopting democratic values and exercising democratic practices, and will also draw from relevant academic literature.</w:t>
      </w:r>
    </w:p>
    <w:p w14:paraId="00BD27BC" w14:textId="6EDA415A" w:rsidR="0048524B" w:rsidRDefault="004B183B" w:rsidP="004B183B">
      <w:pPr>
        <w:pStyle w:val="Heading1"/>
      </w:pPr>
      <w:r>
        <w:lastRenderedPageBreak/>
        <w:t xml:space="preserve">Panel 14C: </w:t>
      </w:r>
      <w:r w:rsidRPr="004B183B">
        <w:t>Sleep and the Brain</w:t>
      </w:r>
    </w:p>
    <w:p w14:paraId="460A10AE" w14:textId="77777777" w:rsidR="004B183B" w:rsidRPr="004B183B" w:rsidRDefault="004B183B" w:rsidP="004B183B"/>
    <w:p w14:paraId="73AA00CE" w14:textId="51601CC8" w:rsidR="0048524B" w:rsidRDefault="0048524B">
      <w:r w:rsidRPr="002E1C1E">
        <w:rPr>
          <w:b/>
          <w:noProof/>
        </w:rPr>
        <w:t>Maria</w:t>
      </w:r>
      <w:r w:rsidRPr="008357DE">
        <w:rPr>
          <w:b/>
        </w:rPr>
        <w:t xml:space="preserve"> </w:t>
      </w:r>
      <w:r w:rsidRPr="002E1C1E">
        <w:rPr>
          <w:b/>
          <w:noProof/>
        </w:rPr>
        <w:t>Petraki</w:t>
      </w:r>
      <w:r w:rsidRPr="008357DE">
        <w:rPr>
          <w:b/>
        </w:rPr>
        <w:t xml:space="preserve"> </w:t>
      </w:r>
      <w:r>
        <w:rPr>
          <w:b/>
        </w:rPr>
        <w:t xml:space="preserve"> </w:t>
      </w:r>
      <w:r w:rsidRPr="008357DE">
        <w:t>(</w:t>
      </w:r>
      <w:r>
        <w:rPr>
          <w:noProof/>
        </w:rPr>
        <w:t>Monash University Australia</w:t>
      </w:r>
      <w:r w:rsidR="004B183B">
        <w:t>)</w:t>
      </w:r>
    </w:p>
    <w:p w14:paraId="5BEDD0CD" w14:textId="77777777" w:rsidR="0048524B" w:rsidRDefault="0048524B">
      <w:pPr>
        <w:rPr>
          <w:i/>
        </w:rPr>
      </w:pPr>
      <w:r w:rsidRPr="002E1C1E">
        <w:rPr>
          <w:i/>
          <w:noProof/>
        </w:rPr>
        <w:t>Exploring the Efficacy of Mesenchymal Stem Cells (MSCs) in Rat Model of Cerebral Palsy</w:t>
      </w:r>
    </w:p>
    <w:p w14:paraId="4D70387D" w14:textId="77777777" w:rsidR="0048524B" w:rsidRDefault="0048524B">
      <w:r>
        <w:rPr>
          <w:noProof/>
        </w:rPr>
        <w:t>Hypoxic-ischaemic (HI) brain injury during pregnancy or around the time of birth can lead to a condition known as cerebral palsy (CP), the most prevalent cause of chronic disability in children. Umbilical cord tissue (UCT) MSCs have received worldwide attention as a safe and potential therapy for treating diseases, and more importantly brain injury. This is mainly due to their capacity of secreting neurotrophic factors such as BDNF in order to provide neuroprotection to the brain following injury. The specific mechanisms that MSCs utilise to protect the brain against injury are not fully defined. In the current study, we aimed to examine how hUCT MCSs can provide neuroprotection to the brain by modulating gene expression involved in neurotrophic and angiogenic pathways following HI brain injury. At postnatal day (PND) 10, HI brain injury was induced by single carotid artery ligation, and 200,000 MSCs were given intranasal after 24 hours. On PND 17 behavioural testing was performed and brains were collected for histology and PCR. Our results showed no significant differences in gene expression between the HI and UCT MSC treatment group. We showed that HI-induced brain injury significantly reduced BDNF in the HI group compared to sham. This study highlights that some neurotrophic factors such as BDNF are reduced following brain injury, but our results could not demonstrate that hUCT MSC treatment could upregulate these factors post-injury. The current work needs to be followed up by investigating how MSCs modulate gene expression involved in pro-inflammatory pathways and protein expression of neurotrophic factors.</w:t>
      </w:r>
    </w:p>
    <w:p w14:paraId="65340274" w14:textId="77777777" w:rsidR="0048524B" w:rsidRDefault="0048524B"/>
    <w:p w14:paraId="174EFD53" w14:textId="1DA6CFE9" w:rsidR="0048524B" w:rsidRDefault="0048524B">
      <w:r w:rsidRPr="002E1C1E">
        <w:rPr>
          <w:b/>
          <w:noProof/>
        </w:rPr>
        <w:t>Tu</w:t>
      </w:r>
      <w:r w:rsidRPr="008357DE">
        <w:rPr>
          <w:b/>
        </w:rPr>
        <w:t xml:space="preserve"> </w:t>
      </w:r>
      <w:r w:rsidRPr="002E1C1E">
        <w:rPr>
          <w:b/>
          <w:noProof/>
        </w:rPr>
        <w:t>Mengyu</w:t>
      </w:r>
      <w:r w:rsidRPr="008357DE">
        <w:rPr>
          <w:b/>
        </w:rPr>
        <w:t xml:space="preserve"> </w:t>
      </w:r>
      <w:r>
        <w:rPr>
          <w:b/>
        </w:rPr>
        <w:t xml:space="preserve"> </w:t>
      </w:r>
      <w:r w:rsidRPr="008357DE">
        <w:t>(</w:t>
      </w:r>
      <w:r>
        <w:rPr>
          <w:noProof/>
        </w:rPr>
        <w:t>NTU</w:t>
      </w:r>
      <w:r w:rsidR="004B183B">
        <w:t>)</w:t>
      </w:r>
    </w:p>
    <w:p w14:paraId="4C59232E" w14:textId="77777777" w:rsidR="0048524B" w:rsidRDefault="0048524B">
      <w:pPr>
        <w:rPr>
          <w:i/>
        </w:rPr>
      </w:pPr>
      <w:r w:rsidRPr="002E1C1E">
        <w:rPr>
          <w:i/>
          <w:noProof/>
        </w:rPr>
        <w:t>Learning Enhancement by Sleep: Closed-loop potentiation of slow oscillations during NREM sleep</w:t>
      </w:r>
    </w:p>
    <w:p w14:paraId="12A7873C" w14:textId="77777777" w:rsidR="0048524B" w:rsidRDefault="0048524B">
      <w:r>
        <w:rPr>
          <w:noProof/>
        </w:rPr>
        <w:t>Sleep is considered crucial for memory consolidation by strengthening and integrating labile new memory traces into pre-existing memory networks. Without this process, newly learned information would tend to be forgotten. A rhythmic neural activity – known as the slow oscillations (SOs), occurring around 0.5–4Hz during non-rapid-eye-movement (NREM) sleep – is critical for memory consolidation. By potentiating SOs in humans, memory was shown to be improved. However, how SO potentiation enhances learning and memory has remained unclear. Here, with the objective of elucidating the mechanisms of SO-associated learning enhancement, we first developed a closed-loop auditory stimulation method to potentiate SOs during NREM sleep in mice, thereby improving their cognitive abilities. In this method, electroencephalogram (EEG) activities were continuously acquired and processed. Based on the processed EEG signals, the closed-loop system was able to deliver the auditory stimuli in synchrony with the ongoing SOs. The auditory stimulation induced an immediate increase in the EEG power in the SO band. In the future, we will combine a behaviour task with the closed-loop auditory stimulation to test our hypothesis that learning can be improved through SO potentiation. Thereafter, further studies will be conducted to investigate the mechanisms of SO-related learning enhancement.</w:t>
      </w:r>
    </w:p>
    <w:p w14:paraId="3FFBD560" w14:textId="77777777" w:rsidR="0048524B" w:rsidRDefault="0048524B"/>
    <w:p w14:paraId="14D91ED5" w14:textId="77777777" w:rsidR="004B183B" w:rsidRDefault="004B183B">
      <w:pPr>
        <w:rPr>
          <w:b/>
          <w:noProof/>
        </w:rPr>
      </w:pPr>
      <w:r>
        <w:rPr>
          <w:b/>
          <w:noProof/>
        </w:rPr>
        <w:br w:type="page"/>
      </w:r>
    </w:p>
    <w:p w14:paraId="3B358FC7" w14:textId="6F3D1199" w:rsidR="0048524B" w:rsidRDefault="0048524B">
      <w:r w:rsidRPr="002E1C1E">
        <w:rPr>
          <w:b/>
          <w:noProof/>
        </w:rPr>
        <w:lastRenderedPageBreak/>
        <w:t>Neo Wen</w:t>
      </w:r>
      <w:r w:rsidRPr="008357DE">
        <w:rPr>
          <w:b/>
        </w:rPr>
        <w:t xml:space="preserve"> </w:t>
      </w:r>
      <w:r w:rsidRPr="002E1C1E">
        <w:rPr>
          <w:b/>
          <w:noProof/>
        </w:rPr>
        <w:t>Ying Claire</w:t>
      </w:r>
      <w:r w:rsidRPr="008357DE">
        <w:rPr>
          <w:b/>
        </w:rPr>
        <w:t xml:space="preserve"> </w:t>
      </w:r>
      <w:r>
        <w:rPr>
          <w:b/>
        </w:rPr>
        <w:t xml:space="preserve"> </w:t>
      </w:r>
      <w:r w:rsidRPr="008357DE">
        <w:t>(</w:t>
      </w:r>
      <w:r>
        <w:rPr>
          <w:noProof/>
        </w:rPr>
        <w:t>NTU</w:t>
      </w:r>
      <w:r w:rsidR="004B183B">
        <w:t>)</w:t>
      </w:r>
    </w:p>
    <w:p w14:paraId="10D99F36" w14:textId="77777777" w:rsidR="0048524B" w:rsidRDefault="0048524B">
      <w:pPr>
        <w:rPr>
          <w:i/>
        </w:rPr>
      </w:pPr>
      <w:r w:rsidRPr="002E1C1E">
        <w:rPr>
          <w:i/>
          <w:noProof/>
        </w:rPr>
        <w:t>The Role of the Interposed Nucleus of the Cerebellum on Discrete Limb Movement</w:t>
      </w:r>
    </w:p>
    <w:p w14:paraId="07BD8CE6" w14:textId="77777777" w:rsidR="0048524B" w:rsidRDefault="0048524B">
      <w:r>
        <w:rPr>
          <w:noProof/>
        </w:rPr>
        <w:t>The deep cerebellar nuclei (DCN) serves as both the final integrator of cerebellar information and the main output channel of the cerebellum. It integrates excitatory input from mossy and climbing fibres together with inhibitory input from Purkinje cells and relays processed sensory-motor signals to the other brain regions. Thus, the DCN plays an important role in modulation of movement. Proper reaching and grasping movements of the forelimb rely on the interposed (Int) nucleus of the DCN. However, the relevance and requirement of individual neuronal sub-populations within the Int nucleus remains unclear. In this study, we examined the involvement of a genetically defined neuronal sub-population within the interposed anterior nucleus (IntA) on reaching and grasping behaviour in mice. Additionally, we assessed the influence of Purkinje cells upstream of the DCN on reaching and grasping. Our results show that ablation of neurons in the IntA nucleus and Purkinje neurons in mice disrupt skilled reach, resulting in poor reaching accuracy using a staircase reaching paradigm. The deficit we observed in skilled reach suggests that both IntA neurons and Purkinje cells are crucial for accurate and precise goal-directed limb movement.</w:t>
      </w:r>
    </w:p>
    <w:p w14:paraId="0DD30277" w14:textId="77777777" w:rsidR="0048524B" w:rsidRDefault="0048524B"/>
    <w:p w14:paraId="700380EF" w14:textId="77777777" w:rsidR="00617E32" w:rsidRDefault="00617E32">
      <w:pPr>
        <w:rPr>
          <w:b/>
          <w:noProof/>
        </w:rPr>
      </w:pPr>
      <w:r>
        <w:rPr>
          <w:b/>
          <w:noProof/>
        </w:rPr>
        <w:br w:type="page"/>
      </w:r>
    </w:p>
    <w:p w14:paraId="43966549" w14:textId="1E1019C3" w:rsidR="00617E32" w:rsidRDefault="00617E32" w:rsidP="00617E32">
      <w:pPr>
        <w:pStyle w:val="Heading1"/>
      </w:pPr>
      <w:r>
        <w:lastRenderedPageBreak/>
        <w:t xml:space="preserve">Panel 14D: </w:t>
      </w:r>
      <w:r w:rsidRPr="00617E32">
        <w:t>Biological Structures</w:t>
      </w:r>
    </w:p>
    <w:p w14:paraId="6AB9074F" w14:textId="77777777" w:rsidR="00617E32" w:rsidRPr="00617E32" w:rsidRDefault="00617E32" w:rsidP="00617E32"/>
    <w:p w14:paraId="73123777" w14:textId="42EF5321" w:rsidR="0048524B" w:rsidRDefault="0048524B">
      <w:r w:rsidRPr="002E1C1E">
        <w:rPr>
          <w:b/>
          <w:noProof/>
        </w:rPr>
        <w:t>Adam</w:t>
      </w:r>
      <w:r w:rsidRPr="008357DE">
        <w:rPr>
          <w:b/>
        </w:rPr>
        <w:t xml:space="preserve"> </w:t>
      </w:r>
      <w:r w:rsidRPr="002E1C1E">
        <w:rPr>
          <w:b/>
          <w:noProof/>
        </w:rPr>
        <w:t>Kennedy</w:t>
      </w:r>
      <w:r w:rsidRPr="008357DE">
        <w:rPr>
          <w:b/>
        </w:rPr>
        <w:t xml:space="preserve"> </w:t>
      </w:r>
      <w:r>
        <w:rPr>
          <w:b/>
        </w:rPr>
        <w:t xml:space="preserve"> </w:t>
      </w:r>
      <w:r w:rsidRPr="008357DE">
        <w:t>(</w:t>
      </w:r>
      <w:r>
        <w:rPr>
          <w:noProof/>
        </w:rPr>
        <w:t>Monash University Australia</w:t>
      </w:r>
      <w:r w:rsidR="00BD77C4">
        <w:t>)</w:t>
      </w:r>
    </w:p>
    <w:p w14:paraId="1CE6BED4" w14:textId="77777777" w:rsidR="0048524B" w:rsidRDefault="0048524B">
      <w:pPr>
        <w:rPr>
          <w:i/>
        </w:rPr>
      </w:pPr>
      <w:r w:rsidRPr="002E1C1E">
        <w:rPr>
          <w:i/>
          <w:noProof/>
        </w:rPr>
        <w:t>Novel Metal-Peptide Scaffolds for Radiopharmaceuticals</w:t>
      </w:r>
    </w:p>
    <w:p w14:paraId="5B338263" w14:textId="77777777" w:rsidR="0048524B" w:rsidRDefault="0048524B">
      <w:r>
        <w:rPr>
          <w:noProof/>
        </w:rPr>
        <w:t>Radiopharmaceutical chemistry involves the binding of radioactive metal ions that are then delivered to specific sites within the human body (e.g. cancerous cells) via targeting sequences for diagnostic or therapeutic applications. Here, a novel metal-binding scaffold is examined using a cyclotide sequence. Cyclotides are cyclic peptides that contain three interwoven disulphide bridges, thus conferring extra stability that is not observed in traditional linear peptides. They are common among certain plant species. The -S-S- structure of these disulphide bridges potentially allow for metal insertion into these sulphur bonds, and so may have the capability of sequestering metal ions to form -S-M-S- bonds, where M = mercury, arsenic and lead. On insertion of these metals to give metal-cyclotide complexes, stability in vitro assays will be conducted to determine the lability of the metal from the cyclotide disulphide bonds in the partial assessment of the suitability of these cyclic peptide scaffolds in radiopharmaceuticals.</w:t>
      </w:r>
    </w:p>
    <w:p w14:paraId="621DF2B8" w14:textId="77777777" w:rsidR="0048524B" w:rsidRDefault="0048524B"/>
    <w:p w14:paraId="31F5661F" w14:textId="40F7350C" w:rsidR="0048524B" w:rsidRDefault="0048524B">
      <w:r w:rsidRPr="002E1C1E">
        <w:rPr>
          <w:b/>
          <w:noProof/>
        </w:rPr>
        <w:t>Yuen Yi</w:t>
      </w:r>
      <w:r w:rsidRPr="008357DE">
        <w:rPr>
          <w:b/>
        </w:rPr>
        <w:t xml:space="preserve"> </w:t>
      </w:r>
      <w:r w:rsidRPr="002E1C1E">
        <w:rPr>
          <w:b/>
          <w:noProof/>
        </w:rPr>
        <w:t>Lam</w:t>
      </w:r>
      <w:r w:rsidRPr="008357DE">
        <w:rPr>
          <w:b/>
        </w:rPr>
        <w:t xml:space="preserve"> </w:t>
      </w:r>
      <w:r>
        <w:rPr>
          <w:b/>
        </w:rPr>
        <w:t xml:space="preserve"> </w:t>
      </w:r>
      <w:r w:rsidRPr="008357DE">
        <w:t>(</w:t>
      </w:r>
      <w:r>
        <w:rPr>
          <w:noProof/>
        </w:rPr>
        <w:t>Monash University Australia</w:t>
      </w:r>
      <w:r w:rsidR="00BD77C4">
        <w:t>)</w:t>
      </w:r>
    </w:p>
    <w:p w14:paraId="2E5B6E9B" w14:textId="77777777" w:rsidR="0048524B" w:rsidRDefault="0048524B">
      <w:pPr>
        <w:rPr>
          <w:i/>
        </w:rPr>
      </w:pPr>
      <w:r w:rsidRPr="002E1C1E">
        <w:rPr>
          <w:i/>
          <w:noProof/>
        </w:rPr>
        <w:t>How do Liquid Crystalline Lipid Nanoparticles of Different Nanostructure Interact With Cells?</w:t>
      </w:r>
    </w:p>
    <w:p w14:paraId="04AF04C2" w14:textId="77777777" w:rsidR="0048524B" w:rsidRDefault="0048524B" w:rsidP="00AC7DBF">
      <w:pPr>
        <w:rPr>
          <w:noProof/>
        </w:rPr>
      </w:pPr>
      <w:r>
        <w:rPr>
          <w:noProof/>
        </w:rPr>
        <w:t>Amphiphilic lipids such as monoolein, phytantriol and monolinolein can self-assemble into a range of lipid-based nanostructure in excess aqueous media. These include cubosomes, hexosomes and lamellar structures. One of the very interesting properties of these liquid crystalline lipid (LCL) nanoparticles is that the phase shifting of the nanostructure can be modulated externally when doped with specific molecules responsive to pH, light and alternating magnetic field. Therefore, these materials have been extensively studied for drug-release performance. However, bio-interaction knowledge is still in its infancy. Although there is an increase in the number of studies assessing cytotoxicity and cellular uptake properties of LCL nanoparticles, they are limited by the use of (i) cancer cell lines and (ii) conventional plate-cell culture (2D) models.</w:t>
      </w:r>
    </w:p>
    <w:p w14:paraId="49562ECA" w14:textId="77777777" w:rsidR="0048524B" w:rsidRDefault="0048524B" w:rsidP="00AC7DBF">
      <w:pPr>
        <w:rPr>
          <w:noProof/>
        </w:rPr>
      </w:pPr>
      <w:r>
        <w:rPr>
          <w:noProof/>
        </w:rPr>
        <w:t>Hence, this study is dedicated to establish a more bio-relevant platform to find out the nanoparticle–cell interaction using healthy endothelial cell, as blood vessels will be the first point of contact if LCL nanoparticles are given as a systemic injection. The effect of the difference in nanostructures on cellular interaction will be investigated.</w:t>
      </w:r>
    </w:p>
    <w:p w14:paraId="0A4DCA96" w14:textId="77777777" w:rsidR="0048524B" w:rsidRDefault="0048524B">
      <w:r>
        <w:rPr>
          <w:noProof/>
        </w:rPr>
        <w:t>On the other hand, particle-cell interaction in 2D models does not adequately represent physiological contexts like tissue dimensions and blood flow effects. A 3D flow-integrated system, where cells are grown in a tubular structure resembling the vascular system, takes all the phenomena that govern particle-cell interactions into account and thus is more suited to evaluate particle-cell interactions in all directions.</w:t>
      </w:r>
    </w:p>
    <w:p w14:paraId="65618FBE" w14:textId="77777777" w:rsidR="0048524B" w:rsidRDefault="0048524B"/>
    <w:p w14:paraId="483BDF10" w14:textId="77777777" w:rsidR="00BD77C4" w:rsidRDefault="00BD77C4">
      <w:pPr>
        <w:rPr>
          <w:b/>
          <w:noProof/>
        </w:rPr>
      </w:pPr>
      <w:r>
        <w:rPr>
          <w:b/>
          <w:noProof/>
        </w:rPr>
        <w:br w:type="page"/>
      </w:r>
    </w:p>
    <w:p w14:paraId="6AD44F27" w14:textId="2D1BCBFE" w:rsidR="0048524B" w:rsidRDefault="0048524B">
      <w:r w:rsidRPr="002E1C1E">
        <w:rPr>
          <w:b/>
          <w:noProof/>
        </w:rPr>
        <w:lastRenderedPageBreak/>
        <w:t>Ng</w:t>
      </w:r>
      <w:r w:rsidRPr="008357DE">
        <w:rPr>
          <w:b/>
        </w:rPr>
        <w:t xml:space="preserve"> </w:t>
      </w:r>
      <w:r w:rsidRPr="002E1C1E">
        <w:rPr>
          <w:b/>
          <w:noProof/>
        </w:rPr>
        <w:t>Aik Seng</w:t>
      </w:r>
      <w:r w:rsidRPr="008357DE">
        <w:rPr>
          <w:b/>
        </w:rPr>
        <w:t xml:space="preserve"> </w:t>
      </w:r>
      <w:r>
        <w:rPr>
          <w:b/>
        </w:rPr>
        <w:t xml:space="preserve"> </w:t>
      </w:r>
      <w:r w:rsidRPr="008357DE">
        <w:t>(</w:t>
      </w:r>
      <w:r>
        <w:rPr>
          <w:noProof/>
        </w:rPr>
        <w:t>NTU</w:t>
      </w:r>
      <w:r w:rsidR="00BD77C4">
        <w:t>)</w:t>
      </w:r>
    </w:p>
    <w:p w14:paraId="6DED70EB" w14:textId="77777777" w:rsidR="0048524B" w:rsidRDefault="0048524B">
      <w:pPr>
        <w:rPr>
          <w:i/>
        </w:rPr>
      </w:pPr>
      <w:r w:rsidRPr="002E1C1E">
        <w:rPr>
          <w:i/>
          <w:noProof/>
        </w:rPr>
        <w:t>Regulation of T-Cell Functions by an ‘Ionic Checkpoint’</w:t>
      </w:r>
    </w:p>
    <w:p w14:paraId="4911DAFC" w14:textId="77777777" w:rsidR="0048524B" w:rsidRDefault="0048524B" w:rsidP="00AC7DBF">
      <w:pPr>
        <w:rPr>
          <w:noProof/>
        </w:rPr>
      </w:pPr>
      <w:r>
        <w:rPr>
          <w:noProof/>
        </w:rPr>
        <w:t>Growing tumours contain areas of cellular necrosis characterised by a substantial amount of extracellular potassium ([K+]e), at approximately ten times higher than physiological concentration. Isotonic elevation within the tumour microenvironment (TME) exerts immunosuppressive effects on tumour infiltrating T-lymphocytes via an ‘ionic checkpoint’, resulting in tumour immune evasion. The aim of this study is to investigate the effects of high [K+]e on T-cell functions and interrogate pharmacological strategy to overcome the ionic checkpoint in human T cells.</w:t>
      </w:r>
    </w:p>
    <w:p w14:paraId="4D0AD9E0" w14:textId="77777777" w:rsidR="0048524B" w:rsidRDefault="0048524B" w:rsidP="00AC7DBF">
      <w:pPr>
        <w:rPr>
          <w:noProof/>
        </w:rPr>
      </w:pPr>
      <w:r>
        <w:rPr>
          <w:noProof/>
        </w:rPr>
        <w:t>Methodology: Human primary T cells were isolated from healthy volunteers or buffy-coat blood samples via density gradient centrifugation. Isotonic and hypertonic media containing varying concentrations of [K+] was customised and utilised. Effects of [K+] on effector T cells’ functionality were studied by flow cytometry, ELISA and Western immunoblotting.</w:t>
      </w:r>
    </w:p>
    <w:p w14:paraId="34554888" w14:textId="77777777" w:rsidR="0048524B" w:rsidRDefault="0048524B" w:rsidP="00AC7DBF">
      <w:pPr>
        <w:rPr>
          <w:noProof/>
        </w:rPr>
      </w:pPr>
      <w:r>
        <w:rPr>
          <w:noProof/>
        </w:rPr>
        <w:t>Results: Both CD4+ and CD8+ T cells exhibited a dose-dependent accumulation of intracellular K+ ([K+]i). Primary data had suggested the impairment of T-cell receptor (TCR)-mediated Akt/mTOR signalling and effector events. Reduced proliferation and anti-tumour responses of T cells were also associated with high [K+]e-mediated suppression. Notably, complete suppression was observed at 80mM. Specific pharmacological blockade on K+ efflux via two K+ channels in T cells (KV1.3 and KCa3.1) exacerbated T-cell suppression by expediting the trigger of the ionic checkpoint. Contrastingly, KCa3.1 activators were able to augment K+ efflux and rescue suppressed T cells.</w:t>
      </w:r>
    </w:p>
    <w:p w14:paraId="46CC614C" w14:textId="77777777" w:rsidR="0048524B" w:rsidRDefault="0048524B">
      <w:r>
        <w:rPr>
          <w:noProof/>
        </w:rPr>
        <w:t>Conclusion: These findings underscored an important role of potassium channels as conduits in maintaining appropriate [K+]i and T-cell functionalities. This study also accentuated the role of pharmacological activators of KCa3.1 as a potential gunnery to empower T cells to overcome the ionic checkpoint and improve tumour clearance.</w:t>
      </w:r>
    </w:p>
    <w:p w14:paraId="29BD7CEC" w14:textId="77777777" w:rsidR="0048524B" w:rsidRDefault="0048524B"/>
    <w:p w14:paraId="656E3B2E" w14:textId="6C5FF8D9" w:rsidR="0048524B" w:rsidRPr="00BD77C4" w:rsidRDefault="0048524B">
      <w:pPr>
        <w:rPr>
          <w:b/>
          <w:noProof/>
        </w:rPr>
      </w:pPr>
      <w:r w:rsidRPr="002E1C1E">
        <w:rPr>
          <w:b/>
          <w:noProof/>
        </w:rPr>
        <w:t>Fan</w:t>
      </w:r>
      <w:r w:rsidRPr="008357DE">
        <w:rPr>
          <w:b/>
        </w:rPr>
        <w:t xml:space="preserve"> </w:t>
      </w:r>
      <w:r w:rsidRPr="002E1C1E">
        <w:rPr>
          <w:b/>
          <w:noProof/>
        </w:rPr>
        <w:t>Wenxuan</w:t>
      </w:r>
      <w:r w:rsidRPr="008357DE">
        <w:rPr>
          <w:b/>
        </w:rPr>
        <w:t xml:space="preserve"> </w:t>
      </w:r>
      <w:r>
        <w:rPr>
          <w:b/>
        </w:rPr>
        <w:t xml:space="preserve"> </w:t>
      </w:r>
      <w:r w:rsidRPr="008357DE">
        <w:t>(</w:t>
      </w:r>
      <w:r>
        <w:rPr>
          <w:noProof/>
        </w:rPr>
        <w:t>NTU</w:t>
      </w:r>
      <w:r w:rsidR="00BD77C4">
        <w:t>)</w:t>
      </w:r>
    </w:p>
    <w:p w14:paraId="50E13E8F" w14:textId="77777777" w:rsidR="0048524B" w:rsidRDefault="0048524B">
      <w:pPr>
        <w:rPr>
          <w:i/>
        </w:rPr>
      </w:pPr>
      <w:r w:rsidRPr="002E1C1E">
        <w:rPr>
          <w:i/>
          <w:noProof/>
        </w:rPr>
        <w:t>Photocatalysed Regeneration of NADH Using Semi-Conducting Polymer Nanoparticles</w:t>
      </w:r>
    </w:p>
    <w:p w14:paraId="6C29CE89" w14:textId="77777777" w:rsidR="0048524B" w:rsidRDefault="0048524B" w:rsidP="00AC7DBF">
      <w:pPr>
        <w:rPr>
          <w:noProof/>
        </w:rPr>
      </w:pPr>
      <w:r>
        <w:rPr>
          <w:noProof/>
        </w:rPr>
        <w:t>This study considers a new approach for photocatalysed regeneration of NADH, utilising semi-conducting polymer nanoparticles (SPNs) as photosensitisers. SPN-PCPDTBT, SPN-PFBT and SPN-PFoDBT were prepared via nanoprecipitation and characterised by DLS and UV-vis spectrum. The effects of using different electron donors (sodium ascorbate and TEOA) and different light sources (680nm LED light and Xe light) were investigated. Under the optimised conditions, the apparent kcat was achieved. This method does not require the use of noble metal electron mediator [Rh(bpy)Cp*Cl]Cl, which is commonly used in the photocatalysed regeneration of NADH, while producing a comparably high catalytic capability.</w:t>
      </w:r>
    </w:p>
    <w:p w14:paraId="1AE54EC4" w14:textId="77777777" w:rsidR="0048524B" w:rsidRDefault="0048524B">
      <w:r>
        <w:rPr>
          <w:noProof/>
        </w:rPr>
        <w:t>Keywords: Photocatalysis, NADH regeneration, semi-conducting polymer nanoparticles, SPN</w:t>
      </w:r>
    </w:p>
    <w:p w14:paraId="6A0B6561" w14:textId="77777777" w:rsidR="0048524B" w:rsidRDefault="0048524B"/>
    <w:p w14:paraId="01E95E17" w14:textId="77777777" w:rsidR="00BD77C4" w:rsidRDefault="00BD77C4">
      <w:pPr>
        <w:rPr>
          <w:b/>
          <w:noProof/>
        </w:rPr>
      </w:pPr>
      <w:r>
        <w:rPr>
          <w:b/>
          <w:noProof/>
        </w:rPr>
        <w:br w:type="page"/>
      </w:r>
    </w:p>
    <w:p w14:paraId="335A4FF4" w14:textId="2252D33E" w:rsidR="00BD77C4" w:rsidRDefault="00320088" w:rsidP="00320088">
      <w:pPr>
        <w:pStyle w:val="Heading1"/>
      </w:pPr>
      <w:r w:rsidRPr="00320088">
        <w:lastRenderedPageBreak/>
        <w:t xml:space="preserve">Panel 15A: </w:t>
      </w:r>
      <w:r w:rsidR="006952F8" w:rsidRPr="006952F8">
        <w:t>Evolving Mediums</w:t>
      </w:r>
    </w:p>
    <w:p w14:paraId="6A1AA43B" w14:textId="77777777" w:rsidR="00320088" w:rsidRPr="00320088" w:rsidRDefault="00320088" w:rsidP="00320088"/>
    <w:p w14:paraId="523D3293" w14:textId="050BA8C1" w:rsidR="0048524B" w:rsidRDefault="0048524B">
      <w:r w:rsidRPr="002E1C1E">
        <w:rPr>
          <w:b/>
          <w:noProof/>
        </w:rPr>
        <w:t>Sophie</w:t>
      </w:r>
      <w:r w:rsidRPr="008357DE">
        <w:rPr>
          <w:b/>
        </w:rPr>
        <w:t xml:space="preserve"> </w:t>
      </w:r>
      <w:r w:rsidRPr="002E1C1E">
        <w:rPr>
          <w:b/>
          <w:noProof/>
        </w:rPr>
        <w:t>Hansen</w:t>
      </w:r>
      <w:r w:rsidRPr="008357DE">
        <w:rPr>
          <w:b/>
        </w:rPr>
        <w:t xml:space="preserve"> </w:t>
      </w:r>
      <w:r>
        <w:rPr>
          <w:b/>
        </w:rPr>
        <w:t xml:space="preserve"> </w:t>
      </w:r>
      <w:r w:rsidRPr="008357DE">
        <w:t>(</w:t>
      </w:r>
      <w:r>
        <w:rPr>
          <w:noProof/>
        </w:rPr>
        <w:t>Monash University Australia</w:t>
      </w:r>
      <w:r w:rsidR="00320088">
        <w:t>)</w:t>
      </w:r>
    </w:p>
    <w:p w14:paraId="10CA004E" w14:textId="77777777" w:rsidR="0048524B" w:rsidRDefault="0048524B">
      <w:pPr>
        <w:rPr>
          <w:i/>
        </w:rPr>
      </w:pPr>
      <w:r w:rsidRPr="002E1C1E">
        <w:rPr>
          <w:i/>
          <w:noProof/>
        </w:rPr>
        <w:t>Speculating Libraries</w:t>
      </w:r>
    </w:p>
    <w:p w14:paraId="307A6E14" w14:textId="77777777" w:rsidR="0048524B" w:rsidRDefault="0048524B" w:rsidP="00AC7DBF">
      <w:pPr>
        <w:rPr>
          <w:noProof/>
        </w:rPr>
      </w:pPr>
      <w:r>
        <w:rPr>
          <w:noProof/>
        </w:rPr>
        <w:t>The future of the public library is one that is almost entirely uncertain. In the last century, there have been many attempts to predict where the library is headed, to no avail. Originally, the library was primarily for education, closely linked with schools and churches. Since then they have shifted to be more progressive, symbolising the democratic ideal of shared and equal-access resources. Now, the public library has to position itself in a time where an incredible amount of information is available on demand at any time online, and people are starting to believe that the physical library is becoming obsolete.</w:t>
      </w:r>
    </w:p>
    <w:p w14:paraId="63DDC284" w14:textId="77777777" w:rsidR="0048524B" w:rsidRDefault="0048524B" w:rsidP="00AC7DBF">
      <w:pPr>
        <w:rPr>
          <w:noProof/>
        </w:rPr>
      </w:pPr>
      <w:r>
        <w:rPr>
          <w:noProof/>
        </w:rPr>
        <w:t>By using the categories of libraries past and present, we are able to look into the future and speculate where libraries might end up. How can the past and present realities of the public library influence the future of their role in society? This project will deliver an interactive or immersive outcome, an installation to provoke thought or challenge beliefs around the library.</w:t>
      </w:r>
    </w:p>
    <w:p w14:paraId="4D7C2635" w14:textId="77777777" w:rsidR="0048524B" w:rsidRDefault="0048524B">
      <w:r>
        <w:rPr>
          <w:noProof/>
        </w:rPr>
        <w:t>Initially, auto-ethnography will be used to create visuals, predict and link ideas; however, it will also be valuable to gain input from public view via surveys, participatory activities and user observations to provide qualitative data on current public libraries. By letting relevant literature, short stories and public input dictate the physical outcome of this research, the project becomes a springboard for further connections between literature and speculating the future; creating dialogue around, and acknowledgement of, the importance of the public library.</w:t>
      </w:r>
    </w:p>
    <w:p w14:paraId="2ED29A71" w14:textId="77777777" w:rsidR="0048524B" w:rsidRDefault="0048524B"/>
    <w:p w14:paraId="607BBD10" w14:textId="101C5CC1" w:rsidR="0048524B" w:rsidRDefault="0048524B">
      <w:r w:rsidRPr="002E1C1E">
        <w:rPr>
          <w:b/>
          <w:noProof/>
        </w:rPr>
        <w:t>Matthew</w:t>
      </w:r>
      <w:r w:rsidRPr="008357DE">
        <w:rPr>
          <w:b/>
        </w:rPr>
        <w:t xml:space="preserve"> </w:t>
      </w:r>
      <w:r w:rsidRPr="002E1C1E">
        <w:rPr>
          <w:b/>
          <w:noProof/>
        </w:rPr>
        <w:t>Justice</w:t>
      </w:r>
      <w:r w:rsidRPr="008357DE">
        <w:rPr>
          <w:b/>
        </w:rPr>
        <w:t xml:space="preserve"> </w:t>
      </w:r>
      <w:r>
        <w:rPr>
          <w:b/>
        </w:rPr>
        <w:t xml:space="preserve"> </w:t>
      </w:r>
      <w:r w:rsidRPr="008357DE">
        <w:t>(</w:t>
      </w:r>
      <w:r>
        <w:rPr>
          <w:noProof/>
        </w:rPr>
        <w:t>Monash University Australia</w:t>
      </w:r>
      <w:r w:rsidR="00320088">
        <w:t>)</w:t>
      </w:r>
    </w:p>
    <w:p w14:paraId="0610EAC1" w14:textId="77777777" w:rsidR="0048524B" w:rsidRDefault="0048524B">
      <w:pPr>
        <w:rPr>
          <w:i/>
        </w:rPr>
      </w:pPr>
      <w:r w:rsidRPr="002E1C1E">
        <w:rPr>
          <w:i/>
          <w:noProof/>
        </w:rPr>
        <w:t>Everyday Aesthetics: Reinstating the photo album</w:t>
      </w:r>
    </w:p>
    <w:p w14:paraId="520A9CB8" w14:textId="77777777" w:rsidR="0048524B" w:rsidRDefault="0048524B" w:rsidP="00AC7DBF">
      <w:pPr>
        <w:rPr>
          <w:noProof/>
        </w:rPr>
      </w:pPr>
      <w:r>
        <w:rPr>
          <w:noProof/>
        </w:rPr>
        <w:t>Aesthetic sensibility can be nurtured for personal development, as well as collective development, social growth and wellbeing. Concerning itself with the mundane, ordinary routines of our daily lives, aesthetics associated with the everyday can help society realise and act on potential aesthetic experience. Propositionally, this research is directed at creating an exhibition that will act as a means of addressing the subject of ‘everyday aesthetics’ (Saito, 2010) by using practice-based design skills.</w:t>
      </w:r>
    </w:p>
    <w:p w14:paraId="7C2B17EE" w14:textId="77777777" w:rsidR="0048524B" w:rsidRDefault="0048524B" w:rsidP="00AC7DBF">
      <w:pPr>
        <w:rPr>
          <w:noProof/>
        </w:rPr>
      </w:pPr>
      <w:r>
        <w:rPr>
          <w:noProof/>
        </w:rPr>
        <w:t>Previously, the photo album represented identity on a personal and community level, inspiring interpersonal, interactive reflection. By co-designing ways and means of producing ‘photo albums’ with members of the public, this project aims to act on the fading, nostalgic memory of what the photo album once was.</w:t>
      </w:r>
    </w:p>
    <w:p w14:paraId="1C42048B" w14:textId="77777777" w:rsidR="0048524B" w:rsidRDefault="0048524B" w:rsidP="00AC7DBF">
      <w:pPr>
        <w:rPr>
          <w:noProof/>
        </w:rPr>
      </w:pPr>
      <w:r>
        <w:rPr>
          <w:noProof/>
        </w:rPr>
        <w:t>Through adopting participatory methods, a meaningful, accessible dialogue will be established between the designer and clients to co-create a contemporary form of photo album. A ‘stall’ will provide a collaborative setting where discussing images, designing the layout, printing and binding will see the book find its final form.</w:t>
      </w:r>
    </w:p>
    <w:p w14:paraId="2BB4FE5F" w14:textId="77777777" w:rsidR="0048524B" w:rsidRDefault="0048524B">
      <w:r>
        <w:rPr>
          <w:noProof/>
        </w:rPr>
        <w:t xml:space="preserve">Conversation will form an integral part of the projects curatorial process, and dialogue will lay the foundations for an aesthetic experience by injecting personal meaning into the objects being co-created. This dialogue will extend into the home, where the designed object will continue to be </w:t>
      </w:r>
      <w:r>
        <w:rPr>
          <w:noProof/>
        </w:rPr>
        <w:lastRenderedPageBreak/>
        <w:t>interacted with, discussed and shared into the future, thus performing a reintegration of art into everyday life.</w:t>
      </w:r>
    </w:p>
    <w:p w14:paraId="598F4CFD" w14:textId="77777777" w:rsidR="0048524B" w:rsidRDefault="0048524B"/>
    <w:p w14:paraId="698974E0" w14:textId="63065AC4" w:rsidR="0048524B" w:rsidRDefault="0048524B">
      <w:r w:rsidRPr="002E1C1E">
        <w:rPr>
          <w:b/>
          <w:noProof/>
        </w:rPr>
        <w:t>Lea Wong</w:t>
      </w:r>
      <w:r w:rsidRPr="008357DE">
        <w:rPr>
          <w:b/>
        </w:rPr>
        <w:t xml:space="preserve"> </w:t>
      </w:r>
      <w:r w:rsidRPr="002E1C1E">
        <w:rPr>
          <w:b/>
          <w:noProof/>
        </w:rPr>
        <w:t>Lay Yi</w:t>
      </w:r>
      <w:r w:rsidRPr="008357DE">
        <w:rPr>
          <w:b/>
        </w:rPr>
        <w:t xml:space="preserve"> </w:t>
      </w:r>
      <w:r>
        <w:rPr>
          <w:b/>
        </w:rPr>
        <w:t xml:space="preserve"> </w:t>
      </w:r>
      <w:r w:rsidRPr="008357DE">
        <w:t>(</w:t>
      </w:r>
      <w:r>
        <w:rPr>
          <w:noProof/>
        </w:rPr>
        <w:t>NTU</w:t>
      </w:r>
      <w:r w:rsidR="00320088">
        <w:t>)</w:t>
      </w:r>
    </w:p>
    <w:p w14:paraId="5955B5F3" w14:textId="77777777" w:rsidR="0048524B" w:rsidRDefault="0048524B">
      <w:pPr>
        <w:rPr>
          <w:i/>
        </w:rPr>
      </w:pPr>
      <w:r w:rsidRPr="002E1C1E">
        <w:rPr>
          <w:i/>
          <w:noProof/>
        </w:rPr>
        <w:t>Movement: Animating believable animal locomotion in 2D and 3D</w:t>
      </w:r>
    </w:p>
    <w:p w14:paraId="48321FCA" w14:textId="77777777" w:rsidR="0048524B" w:rsidRDefault="0048524B" w:rsidP="00AC7DBF">
      <w:pPr>
        <w:rPr>
          <w:noProof/>
        </w:rPr>
      </w:pPr>
      <w:r>
        <w:rPr>
          <w:noProof/>
        </w:rPr>
        <w:t>The portrayal of convincing animals and creatures in animated films has been achieved in a variety of ways over time, primarily through a combination of realistic behaviours and performance-infused characteristics. This project is an in-depth analysis into understanding the similarities, differences and challenges in animating believable animal locomotion via 2D and 3D practices. With regard to case studies, this paper will focus on the 1967 Jungle Book and its 2016 computer generated (CG) counterpart, the 1993 Jurassic Park CG dinosaurs, Disney’s Dinosaurs (2000) and the 2D-animated Rite of Spring dinosaurs in Disney’s Fantasia (1940). Research on the history, approaches and execution of animating quadruped and bipedal motion in 2D and 3D will be conducted. Subsequently, comparisons between each method and their modern film counterparts will be highlighted. This study will address the importance of these changes with respect to technological advancements and shifts in audience perception in terms of the realism and believability of the various animal performances.</w:t>
      </w:r>
    </w:p>
    <w:p w14:paraId="45FA7388" w14:textId="77777777" w:rsidR="0048524B" w:rsidRDefault="0048524B">
      <w:r>
        <w:rPr>
          <w:noProof/>
        </w:rPr>
        <w:t>Keywords: Animal locomotion, realistic, animation, 2D, 3D, quadruped, bipedal</w:t>
      </w:r>
    </w:p>
    <w:p w14:paraId="342EF881" w14:textId="77777777" w:rsidR="0048524B" w:rsidRDefault="0048524B"/>
    <w:p w14:paraId="09004D60" w14:textId="54C2913C" w:rsidR="0048524B" w:rsidRDefault="0048524B">
      <w:r w:rsidRPr="002E1C1E">
        <w:rPr>
          <w:b/>
          <w:noProof/>
        </w:rPr>
        <w:t>Annabel</w:t>
      </w:r>
      <w:r w:rsidRPr="008357DE">
        <w:rPr>
          <w:b/>
        </w:rPr>
        <w:t xml:space="preserve"> </w:t>
      </w:r>
      <w:r w:rsidRPr="002E1C1E">
        <w:rPr>
          <w:b/>
          <w:noProof/>
        </w:rPr>
        <w:t>Pang Shi Min</w:t>
      </w:r>
      <w:r w:rsidRPr="008357DE">
        <w:rPr>
          <w:b/>
        </w:rPr>
        <w:t xml:space="preserve"> </w:t>
      </w:r>
      <w:r>
        <w:rPr>
          <w:b/>
        </w:rPr>
        <w:t xml:space="preserve"> </w:t>
      </w:r>
      <w:r w:rsidRPr="008357DE">
        <w:t>(</w:t>
      </w:r>
      <w:r>
        <w:rPr>
          <w:noProof/>
        </w:rPr>
        <w:t>NTU</w:t>
      </w:r>
      <w:r w:rsidR="00320088">
        <w:t>)</w:t>
      </w:r>
    </w:p>
    <w:p w14:paraId="6BA50D8D" w14:textId="77777777" w:rsidR="0048524B" w:rsidRDefault="0048524B">
      <w:pPr>
        <w:rPr>
          <w:i/>
        </w:rPr>
      </w:pPr>
      <w:r w:rsidRPr="002E1C1E">
        <w:rPr>
          <w:i/>
          <w:noProof/>
        </w:rPr>
        <w:t>The Omnivore in Singapore: A new hegemony, a new inequality</w:t>
      </w:r>
    </w:p>
    <w:p w14:paraId="3605C479" w14:textId="77777777" w:rsidR="0048524B" w:rsidRDefault="0048524B">
      <w:r>
        <w:rPr>
          <w:noProof/>
        </w:rPr>
        <w:t>This project explores how the consumption of food operates as a marker of social status in Singapore via the concept of the omnivore – one who is open to a wide variety of culture and, in doing so, gains social capital through the knowledge and awareness of these cultures to project a socially valuable identity (Peterson, 1996; Savage and Gayo, 2011). Singapore brands itself as a ‘foodie paradise’ but is a Singaporean’s natural inclination to food truly organic? The paper examines how the concept of the ‘omnivore’ is applied by the state for consumption for tourists, and studies its consequences on the society. It aims to demonstrate how omnivorousness has created a new hegemony and thereby introduced a new dimension of inequality in Singapore. This is done through a close analysis of the Singapore Tourism Board’s website, specifically the ‘food and beverage’ section. After consolidating all relevant posts, they were coded according to four themes, namely, Identity, Diversity, Mythology and Authenticity. While it is acknowledged that the data set is limited and the following interpretations are subjective, two separate readings were performed by different parties on the same data set so as to minimise biasness. The findings suggest that Singaporeans are framed as omnivorous and are conferred status through this image, which portrays them as having greater knowledge and awareness of food over others. However, this ability to recognise and consume quality food varies, and thus different levels of prestige are awarded, thereby leading to a new inequality in Singapore.</w:t>
      </w:r>
    </w:p>
    <w:p w14:paraId="164F1F51" w14:textId="77777777" w:rsidR="0048524B" w:rsidRDefault="0048524B"/>
    <w:p w14:paraId="138C9356" w14:textId="77777777" w:rsidR="00320088" w:rsidRDefault="00320088">
      <w:pPr>
        <w:rPr>
          <w:b/>
          <w:noProof/>
        </w:rPr>
      </w:pPr>
      <w:r>
        <w:rPr>
          <w:b/>
          <w:noProof/>
        </w:rPr>
        <w:br w:type="page"/>
      </w:r>
    </w:p>
    <w:p w14:paraId="0D569C43" w14:textId="1EBF96F5" w:rsidR="00320088" w:rsidRDefault="00320088" w:rsidP="006952F8">
      <w:pPr>
        <w:pStyle w:val="Heading1"/>
      </w:pPr>
      <w:r>
        <w:lastRenderedPageBreak/>
        <w:t xml:space="preserve">Panel 15B: </w:t>
      </w:r>
      <w:r w:rsidR="006952F8" w:rsidRPr="006952F8">
        <w:t>Models of Literature</w:t>
      </w:r>
    </w:p>
    <w:p w14:paraId="370EFAB0" w14:textId="77777777" w:rsidR="006952F8" w:rsidRPr="006952F8" w:rsidRDefault="006952F8" w:rsidP="006952F8"/>
    <w:p w14:paraId="7471133B" w14:textId="19C767E2" w:rsidR="0048524B" w:rsidRDefault="0048524B">
      <w:r w:rsidRPr="002E1C1E">
        <w:rPr>
          <w:b/>
          <w:noProof/>
        </w:rPr>
        <w:t>Carolina</w:t>
      </w:r>
      <w:r w:rsidRPr="008357DE">
        <w:rPr>
          <w:b/>
        </w:rPr>
        <w:t xml:space="preserve"> </w:t>
      </w:r>
      <w:r w:rsidRPr="002E1C1E">
        <w:rPr>
          <w:b/>
          <w:noProof/>
        </w:rPr>
        <w:t>Baptista Biasoli</w:t>
      </w:r>
      <w:r w:rsidRPr="008357DE">
        <w:rPr>
          <w:b/>
        </w:rPr>
        <w:t xml:space="preserve"> </w:t>
      </w:r>
      <w:r>
        <w:rPr>
          <w:b/>
        </w:rPr>
        <w:t xml:space="preserve"> </w:t>
      </w:r>
      <w:r w:rsidRPr="008357DE">
        <w:t>(</w:t>
      </w:r>
      <w:r>
        <w:rPr>
          <w:noProof/>
        </w:rPr>
        <w:t>Monash University Australia</w:t>
      </w:r>
      <w:r w:rsidR="006952F8">
        <w:t>)</w:t>
      </w:r>
    </w:p>
    <w:p w14:paraId="30FBB01A" w14:textId="77777777" w:rsidR="0048524B" w:rsidRDefault="0048524B">
      <w:pPr>
        <w:rPr>
          <w:i/>
        </w:rPr>
      </w:pPr>
      <w:r w:rsidRPr="002E1C1E">
        <w:rPr>
          <w:i/>
          <w:noProof/>
        </w:rPr>
        <w:t>Harmony as Technique and Metaphor in E.T.A. Hoffmann’s ‘The Poet and the Composer’</w:t>
      </w:r>
    </w:p>
    <w:p w14:paraId="429F9E0D" w14:textId="77777777" w:rsidR="0048524B" w:rsidRDefault="0048524B" w:rsidP="00AC7DBF">
      <w:pPr>
        <w:rPr>
          <w:noProof/>
        </w:rPr>
      </w:pPr>
      <w:r>
        <w:rPr>
          <w:noProof/>
        </w:rPr>
        <w:t>This project examines the engagement of the early Romantic German-language writer E.T.A. Hoffmann with the philosophical discourse of harmony as the intermediary link between music and literature in one key work, ‘The Poet and the Composer’. While many critics have approached Hoffmann’s work through a musical lens, few have considered harmony as a musical-literary technique as well as a philosophical concept. In my research, I will seek to illuminate how this concept, in both a musical technical sense as well as a literary metaphorical sense, may have influenced Hoffmann’s work.</w:t>
      </w:r>
    </w:p>
    <w:p w14:paraId="007F32F1" w14:textId="77777777" w:rsidR="0048524B" w:rsidRDefault="0048524B" w:rsidP="00AC7DBF">
      <w:pPr>
        <w:rPr>
          <w:noProof/>
        </w:rPr>
      </w:pPr>
      <w:r>
        <w:rPr>
          <w:noProof/>
        </w:rPr>
        <w:t>To pinpoint the concept of harmony around 1800, I have identified Friedrich Schiller to be the most influential critic, since music is central to his depiction of this concept, which highlights the intermediality of the term through metaphor. In a technical sense, I will be identifying Romantic approaches to harmony, through an understanding of harmonic structure, modulation, enharmony and verticality, and applying them to the text; ultimately offering a musical reading of the text through the lens of harmony.</w:t>
      </w:r>
    </w:p>
    <w:p w14:paraId="2AD1EF57" w14:textId="77777777" w:rsidR="0048524B" w:rsidRDefault="0048524B">
      <w:r>
        <w:rPr>
          <w:noProof/>
        </w:rPr>
        <w:t>The work I will be analysing in this light will be the short story, ‘The Poet and the Composer’, where two friends discuss the relationship between music and poetry within opera. This work has been thoroughly researched for its insights into Romantic opera, but at present there is no close reading through the lens of harmony as a contributing factor to an understanding of the intermediality between music and literature in Hoffmann’s works.</w:t>
      </w:r>
    </w:p>
    <w:p w14:paraId="52D7A164" w14:textId="77777777" w:rsidR="0048524B" w:rsidRDefault="0048524B"/>
    <w:p w14:paraId="355754EE" w14:textId="329606C8" w:rsidR="0048524B" w:rsidRDefault="0048524B">
      <w:r w:rsidRPr="002E1C1E">
        <w:rPr>
          <w:b/>
          <w:noProof/>
        </w:rPr>
        <w:t>Raphael</w:t>
      </w:r>
      <w:r w:rsidRPr="008357DE">
        <w:rPr>
          <w:b/>
        </w:rPr>
        <w:t xml:space="preserve"> </w:t>
      </w:r>
      <w:r w:rsidRPr="002E1C1E">
        <w:rPr>
          <w:b/>
          <w:noProof/>
        </w:rPr>
        <w:t>Morris</w:t>
      </w:r>
      <w:r w:rsidRPr="008357DE">
        <w:rPr>
          <w:b/>
        </w:rPr>
        <w:t xml:space="preserve"> </w:t>
      </w:r>
      <w:r>
        <w:rPr>
          <w:b/>
        </w:rPr>
        <w:t xml:space="preserve"> </w:t>
      </w:r>
      <w:r w:rsidRPr="008357DE">
        <w:t>(</w:t>
      </w:r>
      <w:r>
        <w:rPr>
          <w:noProof/>
        </w:rPr>
        <w:t>Monash University Australia</w:t>
      </w:r>
      <w:r w:rsidR="006952F8">
        <w:t>)</w:t>
      </w:r>
    </w:p>
    <w:p w14:paraId="7261F74A" w14:textId="77777777" w:rsidR="0048524B" w:rsidRDefault="0048524B">
      <w:pPr>
        <w:rPr>
          <w:i/>
        </w:rPr>
      </w:pPr>
      <w:r w:rsidRPr="002E1C1E">
        <w:rPr>
          <w:i/>
          <w:noProof/>
        </w:rPr>
        <w:t>Why Your Headcanon is Valid: Interpretation and the many worlds of fictions</w:t>
      </w:r>
    </w:p>
    <w:p w14:paraId="3358C101" w14:textId="77777777" w:rsidR="0048524B" w:rsidRDefault="0048524B">
      <w:r>
        <w:rPr>
          <w:noProof/>
        </w:rPr>
        <w:t>Does Sherlock Holmes own a mobile phone? Philosophical models for truth in fiction must account for canonical and interpretive variations in different, often contrary, versions of a fiction. This involves addressing two key issues: how to interpret truth in fiction, and the metaphysical nature of fictional worlds and entities. This analysis argues that the meaning of claims about fiction depends on the interpretive context in which those claims are considered. Furthermore, it contends that an interpretive context is nothing more than a set of concrete worlds much like our own, each of which has the features of the fiction under that interpretation. Characters and objects in the fiction each have a counterpart in every world; these counterparts are related but distinct entities. A sentence like ‘Sherlock Holmes owns a mobile phone’ is true on an interpretation if and only if each world in that interpretation has a Holmes-counterpart who is a detective. By reframing interpretation in terms of variable sets of worlds, the account tolerates a plurality of interpretive approaches while avoiding contradictions. Disagreement about how to interpret a fiction is then explained as disagreement about which worlds it is appropriate to include under consideration.</w:t>
      </w:r>
    </w:p>
    <w:p w14:paraId="6EF10539" w14:textId="77777777" w:rsidR="0048524B" w:rsidRDefault="0048524B"/>
    <w:p w14:paraId="4432E2DA" w14:textId="77777777" w:rsidR="006952F8" w:rsidRDefault="006952F8">
      <w:pPr>
        <w:rPr>
          <w:b/>
          <w:noProof/>
        </w:rPr>
      </w:pPr>
    </w:p>
    <w:p w14:paraId="7964B3F2" w14:textId="77777777" w:rsidR="006952F8" w:rsidRDefault="006952F8">
      <w:pPr>
        <w:rPr>
          <w:b/>
          <w:noProof/>
        </w:rPr>
      </w:pPr>
    </w:p>
    <w:p w14:paraId="2F624EF3" w14:textId="6F35AE18" w:rsidR="0048524B" w:rsidRDefault="0048524B">
      <w:r w:rsidRPr="002E1C1E">
        <w:rPr>
          <w:b/>
          <w:noProof/>
        </w:rPr>
        <w:lastRenderedPageBreak/>
        <w:t>Diana</w:t>
      </w:r>
      <w:r w:rsidRPr="008357DE">
        <w:rPr>
          <w:b/>
        </w:rPr>
        <w:t xml:space="preserve"> </w:t>
      </w:r>
      <w:r w:rsidRPr="002E1C1E">
        <w:rPr>
          <w:b/>
          <w:noProof/>
        </w:rPr>
        <w:t>Lu Sze Min</w:t>
      </w:r>
      <w:r w:rsidRPr="008357DE">
        <w:rPr>
          <w:b/>
        </w:rPr>
        <w:t xml:space="preserve"> </w:t>
      </w:r>
      <w:r>
        <w:rPr>
          <w:b/>
        </w:rPr>
        <w:t xml:space="preserve"> </w:t>
      </w:r>
      <w:r w:rsidRPr="008357DE">
        <w:t>(</w:t>
      </w:r>
      <w:r>
        <w:rPr>
          <w:noProof/>
        </w:rPr>
        <w:t>NTU</w:t>
      </w:r>
      <w:r w:rsidR="006952F8">
        <w:t>)</w:t>
      </w:r>
    </w:p>
    <w:p w14:paraId="697B81D6" w14:textId="77777777" w:rsidR="0048524B" w:rsidRDefault="0048524B">
      <w:pPr>
        <w:rPr>
          <w:i/>
        </w:rPr>
      </w:pPr>
      <w:r w:rsidRPr="001D7364">
        <w:t xml:space="preserve">Welcome to Night Vale </w:t>
      </w:r>
      <w:r w:rsidRPr="002E1C1E">
        <w:rPr>
          <w:i/>
          <w:noProof/>
        </w:rPr>
        <w:t>as American Dystopia</w:t>
      </w:r>
    </w:p>
    <w:p w14:paraId="4230EC79" w14:textId="77777777" w:rsidR="0048524B" w:rsidRDefault="0048524B">
      <w:r>
        <w:rPr>
          <w:noProof/>
        </w:rPr>
        <w:t>This research paper examines the intermedia oddity that is Welcome to Night Vale. While primarily a podcast in its conception, the world of Night Vale has since expanded to representations in print and live performances. This paper will firstly examine and make the argument that Welcome to Night Vale fits squarely into the tradition of American literature, specifically of dystopia and utopia. To this end, Night Vale’s primary and secondary mediums will be considered through a literary lens, to situate it in relation with discourse about the significance of dystopia and utopia in American literature and history. Thereafter, the paper will turn its attention to the ways in which Night Vale utilises stylistic devices in its interdisciplinary art forms to break the fourth wall and create an immersive experience for the listening, reading and/or viewing audience.</w:t>
      </w:r>
    </w:p>
    <w:p w14:paraId="69ECAFDA" w14:textId="77777777" w:rsidR="0048524B" w:rsidRDefault="0048524B"/>
    <w:p w14:paraId="38232C7E" w14:textId="7A83E2A6" w:rsidR="0048524B" w:rsidRDefault="0048524B">
      <w:r w:rsidRPr="002E1C1E">
        <w:rPr>
          <w:b/>
          <w:noProof/>
        </w:rPr>
        <w:t>Kang Yong</w:t>
      </w:r>
      <w:r w:rsidRPr="008357DE">
        <w:rPr>
          <w:b/>
        </w:rPr>
        <w:t xml:space="preserve"> </w:t>
      </w:r>
      <w:r w:rsidRPr="002E1C1E">
        <w:rPr>
          <w:b/>
          <w:noProof/>
        </w:rPr>
        <w:t>Sheng Fabian</w:t>
      </w:r>
      <w:r w:rsidRPr="008357DE">
        <w:rPr>
          <w:b/>
        </w:rPr>
        <w:t xml:space="preserve"> </w:t>
      </w:r>
      <w:r>
        <w:rPr>
          <w:b/>
        </w:rPr>
        <w:t xml:space="preserve"> </w:t>
      </w:r>
      <w:r w:rsidRPr="008357DE">
        <w:t>(</w:t>
      </w:r>
      <w:r>
        <w:rPr>
          <w:noProof/>
        </w:rPr>
        <w:t>NTU</w:t>
      </w:r>
      <w:r w:rsidR="006952F8">
        <w:t>)</w:t>
      </w:r>
    </w:p>
    <w:p w14:paraId="386E9FA3" w14:textId="77777777" w:rsidR="0048524B" w:rsidRDefault="0048524B">
      <w:pPr>
        <w:rPr>
          <w:i/>
        </w:rPr>
      </w:pPr>
      <w:r w:rsidRPr="002E1C1E">
        <w:rPr>
          <w:i/>
          <w:noProof/>
        </w:rPr>
        <w:t>Lotte Reiniger ‘Through the Looking Glass’: From traditional fairy-tales to digital expressions</w:t>
      </w:r>
    </w:p>
    <w:p w14:paraId="06EEFD18" w14:textId="77777777" w:rsidR="0048524B" w:rsidRDefault="0048524B" w:rsidP="00AC7DBF">
      <w:pPr>
        <w:rPr>
          <w:noProof/>
        </w:rPr>
      </w:pPr>
      <w:r>
        <w:rPr>
          <w:noProof/>
        </w:rPr>
        <w:t>German filmmaker Lotte Reiniger pioneered an avant-garde style of silhouette animation. Her most notable work The Adventures of Prince Achmed (1926) remains the world’s earliest surviving feature-length animation. But its significance does not end there. Reiniger produced intricate paper-cuts with a skilful pair of scissors, brought to life by early stop-motion technology, making her films truly endearing and inspirational forms of animated storytelling.</w:t>
      </w:r>
    </w:p>
    <w:p w14:paraId="19704322" w14:textId="77777777" w:rsidR="0048524B" w:rsidRDefault="0048524B">
      <w:r>
        <w:rPr>
          <w:noProof/>
        </w:rPr>
        <w:t>This paper seeks to examine Reiniger’s work ‘through the looking glass’ of film history, using her own writing Scissors Make Films (1936) as a point of departure to explore the intricacy, innovation and ingenuity of her artistic endeavours. This discourse also aims at investigating if the magic of Reiniger’s work can be recreated with the same sensibilities. Re-imagining Reiniger’s work in the digital age is indeed challenging. We live in a time of motion graphics running in endless loops transmitted through the ubiquity of digital billboards and mobile screens. Nothing is as tactile as it was before. Such is the imperative of this study in revisiting ways in which digital media can develop or appropriate from the traditional, lest it be replaced altogether. It is heartening to find that technology can enable the contemporary artist to reconnect with materials, processes and forms through these digital re-imaginations.</w:t>
      </w:r>
    </w:p>
    <w:p w14:paraId="02CC38C9" w14:textId="77777777" w:rsidR="0048524B" w:rsidRDefault="0048524B"/>
    <w:p w14:paraId="7DD13779" w14:textId="77777777" w:rsidR="006952F8" w:rsidRDefault="006952F8">
      <w:pPr>
        <w:rPr>
          <w:b/>
          <w:noProof/>
        </w:rPr>
      </w:pPr>
      <w:r>
        <w:rPr>
          <w:b/>
          <w:noProof/>
        </w:rPr>
        <w:br w:type="page"/>
      </w:r>
    </w:p>
    <w:p w14:paraId="5DC60EC6" w14:textId="3F3C1861" w:rsidR="006952F8" w:rsidRDefault="006952F8" w:rsidP="006952F8">
      <w:pPr>
        <w:pStyle w:val="Heading1"/>
      </w:pPr>
      <w:r>
        <w:lastRenderedPageBreak/>
        <w:t xml:space="preserve">Panel 15C: </w:t>
      </w:r>
      <w:r w:rsidRPr="006952F8">
        <w:t>Crossing Cultures</w:t>
      </w:r>
    </w:p>
    <w:p w14:paraId="7F801993" w14:textId="77777777" w:rsidR="006952F8" w:rsidRPr="006952F8" w:rsidRDefault="006952F8" w:rsidP="006952F8"/>
    <w:p w14:paraId="6FAB2ACB" w14:textId="7FD34DE9" w:rsidR="0048524B" w:rsidRDefault="0048524B">
      <w:r w:rsidRPr="002E1C1E">
        <w:rPr>
          <w:b/>
          <w:noProof/>
        </w:rPr>
        <w:t>Stephanie</w:t>
      </w:r>
      <w:r w:rsidRPr="008357DE">
        <w:rPr>
          <w:b/>
        </w:rPr>
        <w:t xml:space="preserve"> </w:t>
      </w:r>
      <w:r w:rsidRPr="002E1C1E">
        <w:rPr>
          <w:b/>
          <w:noProof/>
        </w:rPr>
        <w:t>Caruana</w:t>
      </w:r>
      <w:r w:rsidRPr="008357DE">
        <w:rPr>
          <w:b/>
        </w:rPr>
        <w:t xml:space="preserve"> </w:t>
      </w:r>
      <w:r>
        <w:rPr>
          <w:b/>
        </w:rPr>
        <w:t xml:space="preserve"> </w:t>
      </w:r>
      <w:r w:rsidRPr="008357DE">
        <w:t>(</w:t>
      </w:r>
      <w:r>
        <w:rPr>
          <w:noProof/>
        </w:rPr>
        <w:t>Monash University Australia</w:t>
      </w:r>
      <w:r w:rsidR="006952F8">
        <w:t>)</w:t>
      </w:r>
    </w:p>
    <w:p w14:paraId="14959B4C" w14:textId="77777777" w:rsidR="0048524B" w:rsidRDefault="0048524B">
      <w:pPr>
        <w:rPr>
          <w:i/>
        </w:rPr>
      </w:pPr>
      <w:r w:rsidRPr="002E1C1E">
        <w:rPr>
          <w:i/>
          <w:noProof/>
        </w:rPr>
        <w:t>An Illusion of Choice: The hidden obligations of integration and multi-culturalism</w:t>
      </w:r>
    </w:p>
    <w:p w14:paraId="4A736C3B" w14:textId="77777777" w:rsidR="0048524B" w:rsidRDefault="0048524B">
      <w:r>
        <w:rPr>
          <w:noProof/>
        </w:rPr>
        <w:t>Acculturation is a process defined by the cultural modification of a group by adapting to the traits of another culture. For migrants, this process is vital to learning the way of life of other cultures. Within an Australian context, migrants account for a substantial portion of the population, making this process pivotal in maintaining a multi-cultural society. As identified by John Berry’s bio-dimensional acculturation model, cultural groups are affected by the extent to which they integrate, assimilate or are separated and marginalised within the host group. Despite Australia’s multi-cultural climate, aspects of one’s ethnocultural background are shed due to perceived incompatibilities between cultures, even those who wish to maintain their cultural backgrounds may feel obliged to shed certain ethnic traits in place of host group traits. Due to these hidden obligations, successive migrant generations have endured a dilution of culture and a loss of cultural knowledge. Qualitative research on acculturation reflects that migrant groups generally prefer to maintain their ethnocultural backgrounds. However, a dearth of the research fails to capture this illusion of choice and investigate the elements of culture that migrant generations have shed, maintained and adopted due to perceived obligations to assimilate into the host group. Using Berry’s model, I endeavour to complete a qualitative analysis, investigating the specific aspects of ethnocultural backgrounds that are maintained and which aspects are replaced with elements of Australian culture by second generation Australians. This research will address this gap, examining the hidden obligations of integration and multi-culturalism among second generation Australians.</w:t>
      </w:r>
    </w:p>
    <w:p w14:paraId="490BE10F" w14:textId="77777777" w:rsidR="0048524B" w:rsidRDefault="0048524B"/>
    <w:p w14:paraId="67C5DD2E" w14:textId="674E565F" w:rsidR="0048524B" w:rsidRDefault="0048524B">
      <w:r w:rsidRPr="002E1C1E">
        <w:rPr>
          <w:b/>
          <w:noProof/>
        </w:rPr>
        <w:t>Maureen</w:t>
      </w:r>
      <w:r w:rsidRPr="008357DE">
        <w:rPr>
          <w:b/>
        </w:rPr>
        <w:t xml:space="preserve"> </w:t>
      </w:r>
      <w:r w:rsidRPr="002E1C1E">
        <w:rPr>
          <w:b/>
          <w:noProof/>
        </w:rPr>
        <w:t>Lucas</w:t>
      </w:r>
      <w:r w:rsidRPr="008357DE">
        <w:rPr>
          <w:b/>
        </w:rPr>
        <w:t xml:space="preserve"> </w:t>
      </w:r>
      <w:r>
        <w:rPr>
          <w:b/>
        </w:rPr>
        <w:t xml:space="preserve"> </w:t>
      </w:r>
      <w:r w:rsidRPr="008357DE">
        <w:t>(</w:t>
      </w:r>
      <w:r>
        <w:rPr>
          <w:noProof/>
        </w:rPr>
        <w:t>Monash University Australia</w:t>
      </w:r>
      <w:r w:rsidR="006952F8">
        <w:t>)</w:t>
      </w:r>
    </w:p>
    <w:p w14:paraId="2CC31AA8" w14:textId="77777777" w:rsidR="0048524B" w:rsidRDefault="0048524B">
      <w:pPr>
        <w:rPr>
          <w:i/>
        </w:rPr>
      </w:pPr>
      <w:r w:rsidRPr="002E1C1E">
        <w:rPr>
          <w:i/>
          <w:noProof/>
        </w:rPr>
        <w:t>‘Portrait’ and Invisibility/Visibility in the Case of William Barak: An Australian city’s Indigenous icon</w:t>
      </w:r>
    </w:p>
    <w:p w14:paraId="53E27CEA" w14:textId="77777777" w:rsidR="0048524B" w:rsidRDefault="0048524B">
      <w:r>
        <w:rPr>
          <w:noProof/>
        </w:rPr>
        <w:t>Spanning the early days of European colonisation to today’s era of late capitalism and urban density, a plethora of representations in photography, print and paintings present a multi-faceted story of how Aboriginal people in Australia were viewed then and are perceived today: a conundrum of the invisible and the visible in the context of dominant discourses around power, racism and identity. However, this conundrum is further problematised by the paucity of statues and monuments that publicly memorialise Australian Aboriginal leaders. Completed in 2015, the face of William Barak (1824–1903), Aboriginal activist and leader of the land on which Melbourne was founded, forms the monumental façade of a 31-storey skyscraper, ‘Portrait’, in the heart of the city. Yet this image is only clearly visible from a distance; the closer one gets to ‘Portrait’ the more Barak’s face becomes submerged by its architecture. Similarly, Barak’s personal story is problematic, mostly unknown and far less visible than this commodified representation. Drawing on William Barak’s life story and historical and contemporary representations of him, I query what these representations reveal about contemporary Australia’s Indigenous/non-Indigenous relations. Are they symbols of assimilation or reconciliation, or both? An ironic dialectic of identity is evidenced by how William Barak ‘self-represented’ and points to issues of ‘whiteness’ and ‘race’. Indeed, the case of Barak and ‘Portrait’ display evidence of a confluence of historical and contemporary Indigenous agency in Australia with ongoing neo-colonisation.</w:t>
      </w:r>
    </w:p>
    <w:p w14:paraId="32DF0DB3" w14:textId="77777777" w:rsidR="0048524B" w:rsidRDefault="0048524B"/>
    <w:p w14:paraId="321D6D10" w14:textId="17EF52F2" w:rsidR="0048524B" w:rsidRDefault="0048524B">
      <w:r w:rsidRPr="002E1C1E">
        <w:rPr>
          <w:b/>
          <w:noProof/>
        </w:rPr>
        <w:lastRenderedPageBreak/>
        <w:t>Cally Cheung Hiu Tung</w:t>
      </w:r>
      <w:r w:rsidRPr="008357DE">
        <w:rPr>
          <w:b/>
        </w:rPr>
        <w:t xml:space="preserve">  </w:t>
      </w:r>
      <w:r>
        <w:rPr>
          <w:b/>
        </w:rPr>
        <w:t xml:space="preserve"> </w:t>
      </w:r>
      <w:r w:rsidRPr="008357DE">
        <w:t>(</w:t>
      </w:r>
      <w:r>
        <w:rPr>
          <w:noProof/>
        </w:rPr>
        <w:t>NTU</w:t>
      </w:r>
      <w:r w:rsidR="006952F8">
        <w:t>)</w:t>
      </w:r>
    </w:p>
    <w:p w14:paraId="2DEDBAE8" w14:textId="77777777" w:rsidR="0048524B" w:rsidRDefault="0048524B">
      <w:pPr>
        <w:rPr>
          <w:i/>
        </w:rPr>
      </w:pPr>
      <w:r w:rsidRPr="002E1C1E">
        <w:rPr>
          <w:i/>
          <w:noProof/>
        </w:rPr>
        <w:t>Land of Lilies and Mandarins: Western representations of China</w:t>
      </w:r>
    </w:p>
    <w:p w14:paraId="142823AF" w14:textId="77777777" w:rsidR="0048524B" w:rsidRDefault="0048524B">
      <w:r>
        <w:rPr>
          <w:noProof/>
        </w:rPr>
        <w:t>Western interest in China rapidly developed in the eighteenth century, spurred by the Rococo period, leading to a cultural demand for things that were exotic and extravagant. The import of new Chinese products such as tea, silk and porcelain further marked the nation-state as a source of artistic and intellectual aspiration – until the French Revolution. This resulted in ‘one of the most startling reversals of opinion in the history of thought’ where the subsequent rise of imperialism and industrialism in the West replaced earlier enthusiasm for the Orient culture with derision and hostility. Looking forwards, how can current resources and technologies tackle past anxieties without diminishing the scale of the literary archive? What is the significance of literature’s role when trying to construct a cohesive, cultural meaning of China in the West? As the meaning of China and its turbulent presence in the West continuously evolves and fluctuates throughout history, this research project seeks to track these shifts and trace the underlying connections over time. Digital versions of literary texts over a selected timeframe will be examined for the primary keywords, ‘China’ and ‘Chinese’ respectively, before generating secondary keywords from the relevant references through proximity and collocation. By using a hybrid of quantitative and qualitative research, the project will be able to isolate and trace the influence of key historical events correlating to the chosen period, as well as scrutinise the socio-cultural factors behind China’s representation in Western literature. The dataset for each text includes the excerpt, keywords and publication details.</w:t>
      </w:r>
    </w:p>
    <w:p w14:paraId="62EDBC66" w14:textId="77777777" w:rsidR="0048524B" w:rsidRDefault="0048524B"/>
    <w:p w14:paraId="55618E5D" w14:textId="685752A1" w:rsidR="0048524B" w:rsidRDefault="0048524B">
      <w:r w:rsidRPr="002E1C1E">
        <w:rPr>
          <w:b/>
          <w:noProof/>
        </w:rPr>
        <w:t>Amelia Choo Shu Xian</w:t>
      </w:r>
      <w:r w:rsidRPr="008357DE">
        <w:rPr>
          <w:b/>
        </w:rPr>
        <w:t xml:space="preserve">  </w:t>
      </w:r>
      <w:r>
        <w:rPr>
          <w:b/>
        </w:rPr>
        <w:t xml:space="preserve"> </w:t>
      </w:r>
      <w:r w:rsidRPr="008357DE">
        <w:t>(</w:t>
      </w:r>
      <w:r>
        <w:rPr>
          <w:noProof/>
        </w:rPr>
        <w:t>NTU</w:t>
      </w:r>
      <w:r w:rsidR="006952F8">
        <w:t>)</w:t>
      </w:r>
    </w:p>
    <w:p w14:paraId="1A9F628D" w14:textId="77777777" w:rsidR="0048524B" w:rsidRDefault="0048524B">
      <w:pPr>
        <w:rPr>
          <w:i/>
        </w:rPr>
      </w:pPr>
      <w:r w:rsidRPr="002E1C1E">
        <w:rPr>
          <w:i/>
          <w:noProof/>
        </w:rPr>
        <w:t>Kampong: A metaphor against the grand narrative</w:t>
      </w:r>
    </w:p>
    <w:p w14:paraId="6F9469C0" w14:textId="77777777" w:rsidR="0048524B" w:rsidRDefault="0048524B">
      <w:r>
        <w:rPr>
          <w:noProof/>
        </w:rPr>
        <w:t>There has been an upsurge in Singapore literary production in recent years, with many of the works focusing on the 1945–1965 period. The emergence of these fictions is of great interest as they often represent alternative voices to the grand narrative that is an ‘interpretation of the past …manufactured for [a] political reason’ (Loh, 6). Such alternative narratives may seek to transcend cultural and ethnic boundaries. They may sometimes deploy nostalgia while criticising its use. Choosing to focus on Sandi Tan’s The Black Isle and Zhang Hui’s Shuang Kou Ding Village – The Yesteryears, this project will critically examine the ways in which both texts incorporate elements of Chinese beliefs and traditions in order to bridge the gap between contemporary visions of Singapore and its tumultuous past, incorporating in the process an analysis of ‘kampong’ as a symbol for a paradise lost, and examining the utopian ideals attached to it. It will also examine depictions of rural kampong life and the use of traditional fables that may help to build a community, connecting such depictions to dominant historical narratives. Through this analysis, the project aims to refashion the grand narrative of Singapore modernity, hoping that these common themes, when mapped onto a larger context of underlying racial and religious tension, will open doors for enlarged notions of the self that can, in turn, foster the growth of multi-culturalism.</w:t>
      </w:r>
    </w:p>
    <w:p w14:paraId="2BA9E33C" w14:textId="77777777" w:rsidR="0048524B" w:rsidRDefault="0048524B"/>
    <w:p w14:paraId="089DA698" w14:textId="77777777" w:rsidR="006952F8" w:rsidRDefault="006952F8">
      <w:pPr>
        <w:rPr>
          <w:b/>
          <w:noProof/>
        </w:rPr>
      </w:pPr>
      <w:r>
        <w:rPr>
          <w:b/>
          <w:noProof/>
        </w:rPr>
        <w:br w:type="page"/>
      </w:r>
    </w:p>
    <w:p w14:paraId="3CC6E2F9" w14:textId="48458A47" w:rsidR="006952F8" w:rsidRDefault="006952F8" w:rsidP="006952F8">
      <w:pPr>
        <w:pStyle w:val="Heading1"/>
      </w:pPr>
      <w:r>
        <w:lastRenderedPageBreak/>
        <w:t xml:space="preserve">Panel 15D: </w:t>
      </w:r>
      <w:r w:rsidRPr="006952F8">
        <w:t>Education</w:t>
      </w:r>
    </w:p>
    <w:p w14:paraId="2ED69F7C" w14:textId="77777777" w:rsidR="006952F8" w:rsidRPr="006952F8" w:rsidRDefault="006952F8" w:rsidP="006952F8"/>
    <w:p w14:paraId="2F7F51A2" w14:textId="230F78DA" w:rsidR="0048524B" w:rsidRDefault="0048524B">
      <w:r w:rsidRPr="002E1C1E">
        <w:rPr>
          <w:b/>
          <w:noProof/>
        </w:rPr>
        <w:t>Ruchie</w:t>
      </w:r>
      <w:r w:rsidRPr="008357DE">
        <w:rPr>
          <w:b/>
        </w:rPr>
        <w:t xml:space="preserve"> </w:t>
      </w:r>
      <w:r w:rsidRPr="002E1C1E">
        <w:rPr>
          <w:b/>
          <w:noProof/>
        </w:rPr>
        <w:t>Yano</w:t>
      </w:r>
      <w:r w:rsidRPr="008357DE">
        <w:rPr>
          <w:b/>
        </w:rPr>
        <w:t xml:space="preserve"> </w:t>
      </w:r>
      <w:r>
        <w:rPr>
          <w:b/>
        </w:rPr>
        <w:t xml:space="preserve"> </w:t>
      </w:r>
      <w:r>
        <w:t>(Kyushu University, Japan</w:t>
      </w:r>
      <w:r w:rsidR="006952F8">
        <w:t>)</w:t>
      </w:r>
    </w:p>
    <w:p w14:paraId="426B8FB7" w14:textId="77777777" w:rsidR="0048524B" w:rsidRDefault="0048524B">
      <w:pPr>
        <w:rPr>
          <w:i/>
        </w:rPr>
      </w:pPr>
      <w:r w:rsidRPr="002E1C1E">
        <w:rPr>
          <w:i/>
          <w:noProof/>
        </w:rPr>
        <w:t>The Influence of Early Children’s Physical Activity on Motivation to Learn</w:t>
      </w:r>
    </w:p>
    <w:p w14:paraId="33752D7B" w14:textId="77777777" w:rsidR="0048524B" w:rsidRDefault="0048524B">
      <w:r>
        <w:rPr>
          <w:noProof/>
        </w:rPr>
        <w:t>In Japan, early education has been actively recommended. Early education is a kind of education for children that allows and encourages children to grow. It is said that it is easier to absorb more information by educating in the period when intellectual curiosity is vigorous and the brain is more flexible. In addition, as a child learns from a young age, they then have the ability to think by acquiring experience, and this will lead to wider possibilities for the future. Early education is divided into different categories such as: memory (memorising letters and numbers, etc.), arts (e.g. piano and crafts), exercise (such as swimming) and so on. It is said that the right brain works better when the child is young and from this, early education forms a foundation from which to extend a specialty field by continuing from this short period. However, views on this are divided, and there are opinions against early education. For example, it is suggested that there are cases in which there is almost no difference whether you attended early education or not when you are past junior high school. Moreover, early education can restrict a child’s freedom for imagination and ideas because it tends to require passive study. This paper considers the following questions: Is early education really good for a child’s growth? How does it affect the child’s future?</w:t>
      </w:r>
    </w:p>
    <w:p w14:paraId="315EA4E5" w14:textId="77777777" w:rsidR="0048524B" w:rsidRDefault="0048524B"/>
    <w:p w14:paraId="16E8BD89" w14:textId="7783A949" w:rsidR="0048524B" w:rsidRDefault="0048524B">
      <w:r w:rsidRPr="002E1C1E">
        <w:rPr>
          <w:b/>
          <w:noProof/>
        </w:rPr>
        <w:t>Joanna</w:t>
      </w:r>
      <w:r w:rsidRPr="008357DE">
        <w:rPr>
          <w:b/>
        </w:rPr>
        <w:t xml:space="preserve"> </w:t>
      </w:r>
      <w:r w:rsidRPr="002E1C1E">
        <w:rPr>
          <w:b/>
          <w:noProof/>
        </w:rPr>
        <w:t>Goh</w:t>
      </w:r>
      <w:r w:rsidRPr="008357DE">
        <w:rPr>
          <w:b/>
        </w:rPr>
        <w:t xml:space="preserve"> </w:t>
      </w:r>
      <w:r>
        <w:rPr>
          <w:b/>
        </w:rPr>
        <w:t xml:space="preserve"> </w:t>
      </w:r>
      <w:r w:rsidRPr="008357DE">
        <w:t>(</w:t>
      </w:r>
      <w:r>
        <w:rPr>
          <w:noProof/>
        </w:rPr>
        <w:t>Monash University Malaysia</w:t>
      </w:r>
      <w:r w:rsidR="006952F8">
        <w:t>)</w:t>
      </w:r>
    </w:p>
    <w:p w14:paraId="79BBEA29" w14:textId="77777777" w:rsidR="0048524B" w:rsidRDefault="0048524B">
      <w:pPr>
        <w:rPr>
          <w:i/>
        </w:rPr>
      </w:pPr>
      <w:r w:rsidRPr="002E1C1E">
        <w:rPr>
          <w:i/>
          <w:noProof/>
        </w:rPr>
        <w:t>A Coherent Life of Service and Learning: Can service motivate students to learn?</w:t>
      </w:r>
    </w:p>
    <w:p w14:paraId="39132C58" w14:textId="77777777" w:rsidR="0048524B" w:rsidRDefault="0048524B" w:rsidP="00AC7DBF">
      <w:pPr>
        <w:rPr>
          <w:noProof/>
        </w:rPr>
      </w:pPr>
      <w:r>
        <w:rPr>
          <w:noProof/>
        </w:rPr>
        <w:t>In many countries, educational systems, be it primary, secondary or tertiary, have been characterised by a rigidly defined syllabus of learning. Under this system, students are trained to be passive learners who merely regurgitate knowledge learned within the classroom walls and gradually lose their interest and volition to learn. This research aims to reconceptualise the meaning of education. In many cases, we have seen people become motivated to do something because they are driven by a strong sense of purpose. Will the outcome be different if our understanding towards education changes?</w:t>
      </w:r>
    </w:p>
    <w:p w14:paraId="2F98F2C7" w14:textId="77777777" w:rsidR="0048524B" w:rsidRDefault="0048524B">
      <w:r>
        <w:rPr>
          <w:noProof/>
        </w:rPr>
        <w:t>This research will focus on a specific programme, namely the Baha’i-inspired Junior Youth Spiritual Empowerment Program (JYSEP). This programme was selected because it starts to instil weighty themes such as service to students from a young age. It also offers insights into a coherent educational system that both the spiritual and material education are equally emphasised. This research will look into how this programme affects the students, specifically in the changes of their understanding towards self and learning. The audience can expect an introduction to the nature of this global programme and its implementation in different settings across the globe. The presentation will cover the methodology of research, which includes interviews and self-report measures. We expect students will report higher educational engagement and higher self-esteem after joining the programme. If the research outcome is positive, we can work towards the effort of introducing the JYSEP to formal educational institutions for the benefit of students.</w:t>
      </w:r>
    </w:p>
    <w:p w14:paraId="19A688B9" w14:textId="77777777" w:rsidR="0048524B" w:rsidRDefault="0048524B"/>
    <w:p w14:paraId="355527FD" w14:textId="77777777" w:rsidR="006952F8" w:rsidRDefault="006952F8">
      <w:pPr>
        <w:rPr>
          <w:b/>
          <w:noProof/>
        </w:rPr>
      </w:pPr>
      <w:r>
        <w:rPr>
          <w:b/>
          <w:noProof/>
        </w:rPr>
        <w:br w:type="page"/>
      </w:r>
    </w:p>
    <w:p w14:paraId="24D7DF2D" w14:textId="239C116C" w:rsidR="0048524B" w:rsidRDefault="0048524B">
      <w:r w:rsidRPr="002E1C1E">
        <w:rPr>
          <w:b/>
          <w:noProof/>
        </w:rPr>
        <w:lastRenderedPageBreak/>
        <w:t>Yit</w:t>
      </w:r>
      <w:r w:rsidRPr="008357DE">
        <w:rPr>
          <w:b/>
        </w:rPr>
        <w:t xml:space="preserve"> </w:t>
      </w:r>
      <w:r w:rsidRPr="002E1C1E">
        <w:rPr>
          <w:b/>
          <w:noProof/>
        </w:rPr>
        <w:t>Wey Liew</w:t>
      </w:r>
      <w:r w:rsidRPr="008357DE">
        <w:rPr>
          <w:b/>
        </w:rPr>
        <w:t xml:space="preserve"> </w:t>
      </w:r>
      <w:r>
        <w:rPr>
          <w:b/>
        </w:rPr>
        <w:t xml:space="preserve"> </w:t>
      </w:r>
      <w:r w:rsidRPr="008357DE">
        <w:t>(</w:t>
      </w:r>
      <w:r>
        <w:rPr>
          <w:noProof/>
        </w:rPr>
        <w:t>Monash University Malaysia</w:t>
      </w:r>
      <w:r w:rsidR="006952F8">
        <w:t>)</w:t>
      </w:r>
    </w:p>
    <w:p w14:paraId="08997D25" w14:textId="77777777" w:rsidR="0048524B" w:rsidRDefault="0048524B">
      <w:pPr>
        <w:rPr>
          <w:i/>
        </w:rPr>
      </w:pPr>
      <w:r w:rsidRPr="002E1C1E">
        <w:rPr>
          <w:i/>
          <w:noProof/>
        </w:rPr>
        <w:t>Improving the Education System in Malaysia to Address Multi-Culturalism</w:t>
      </w:r>
    </w:p>
    <w:p w14:paraId="0362A5F9" w14:textId="77777777" w:rsidR="0048524B" w:rsidRDefault="0048524B">
      <w:r>
        <w:rPr>
          <w:noProof/>
        </w:rPr>
        <w:t>Malaysia is a multi-racial country which consists of Malays, Chinese, Indians and numerous Indigenous people. The Education Act 1996 allowed schools other than national schools to be set up, such as Chinese and Tamil vernacular schools. This shows that, although Malays are the majority race in Malaysia, Chinese and Indians’ rights are protected as well. However, this will lead to lack of exposure to other races as students are sent to schools that use their mother tongue as the main medium of instruction. This research aims to report on how the current education system can be adapted to encourage interaction between races while protecting the individual cultures. This is an important issue as lack of exposure will lead to stereotypes where we perceive others as what we heard rather than real interaction with them. Racism or even prejudice behaviour might occur, which will seriously affect the country. This paper will analyse discussions, opinions and research papers relating to vernacular schools through literature review. Relevant and successful education systems in other countries will be used as comparison. Finally, interviews and questionnaires are used to gather opinions from current and graduated students from each type of schools. The expected findings will prove this is a prevalent and pressing issue and not just theoretical argument. Additionally, the literature review will allow a new framework to be created for the education system. This unique combination of methodologies and findings will provide extra insights for the Education Ministry to improve the education system to address multi-culturalism.</w:t>
      </w:r>
    </w:p>
    <w:p w14:paraId="7A85F767" w14:textId="77777777" w:rsidR="0048524B" w:rsidRDefault="0048524B"/>
    <w:p w14:paraId="5A1F4559" w14:textId="77777777" w:rsidR="006952F8" w:rsidRDefault="006952F8">
      <w:pPr>
        <w:rPr>
          <w:b/>
          <w:noProof/>
        </w:rPr>
      </w:pPr>
      <w:r>
        <w:rPr>
          <w:b/>
          <w:noProof/>
        </w:rPr>
        <w:br w:type="page"/>
      </w:r>
    </w:p>
    <w:p w14:paraId="2968EFD7" w14:textId="2B8A7F8D" w:rsidR="006952F8" w:rsidRDefault="006952F8" w:rsidP="006952F8">
      <w:pPr>
        <w:pStyle w:val="Heading1"/>
      </w:pPr>
      <w:r>
        <w:lastRenderedPageBreak/>
        <w:t xml:space="preserve">Panel 16A: </w:t>
      </w:r>
      <w:r w:rsidRPr="006952F8">
        <w:t>International Development and Governance</w:t>
      </w:r>
    </w:p>
    <w:p w14:paraId="7B4C1FEE" w14:textId="77777777" w:rsidR="006952F8" w:rsidRPr="006952F8" w:rsidRDefault="006952F8" w:rsidP="006952F8"/>
    <w:p w14:paraId="0071223C" w14:textId="599A4EC7" w:rsidR="0048524B" w:rsidRDefault="0048524B">
      <w:r w:rsidRPr="002E1C1E">
        <w:rPr>
          <w:b/>
          <w:noProof/>
        </w:rPr>
        <w:t>Ryan</w:t>
      </w:r>
      <w:r w:rsidRPr="008357DE">
        <w:rPr>
          <w:b/>
        </w:rPr>
        <w:t xml:space="preserve"> </w:t>
      </w:r>
      <w:r w:rsidRPr="002E1C1E">
        <w:rPr>
          <w:b/>
          <w:noProof/>
        </w:rPr>
        <w:t>Attard</w:t>
      </w:r>
      <w:r w:rsidRPr="008357DE">
        <w:rPr>
          <w:b/>
        </w:rPr>
        <w:t xml:space="preserve"> </w:t>
      </w:r>
      <w:r>
        <w:rPr>
          <w:b/>
        </w:rPr>
        <w:t xml:space="preserve"> </w:t>
      </w:r>
      <w:r w:rsidRPr="008357DE">
        <w:t>(</w:t>
      </w:r>
      <w:r>
        <w:rPr>
          <w:noProof/>
        </w:rPr>
        <w:t>Monash University Australia</w:t>
      </w:r>
      <w:r w:rsidR="006952F8">
        <w:t>)</w:t>
      </w:r>
    </w:p>
    <w:p w14:paraId="0F3AF5FF" w14:textId="77777777" w:rsidR="0048524B" w:rsidRDefault="0048524B">
      <w:pPr>
        <w:rPr>
          <w:i/>
        </w:rPr>
      </w:pPr>
      <w:r w:rsidRPr="002E1C1E">
        <w:rPr>
          <w:i/>
          <w:noProof/>
        </w:rPr>
        <w:t>Missing Links: The impact of limited public transport on rural communities</w:t>
      </w:r>
    </w:p>
    <w:p w14:paraId="63FBF2D4" w14:textId="77777777" w:rsidR="0048524B" w:rsidRDefault="0048524B">
      <w:r>
        <w:rPr>
          <w:noProof/>
        </w:rPr>
        <w:t>Successive Victorian and Federal Governments have allocated funding to various transport projects which have mainly been rooted in Melbourne and in metropolitan Victoria. While current government expenditure does allocate additional funding to regional areas of the state, there are still massive gaps where there is limited public transport available. Using research conducted on Western Victoria, this study will analyse the impact limited public transport has on rural communities and their welfare. This will include outlining past government policies and evaluating current public transport provisions in regard to other regions. Moreover, this will place an onus on the social and economic pressures put on communities which may be affected by limited connectivity to regional hubs and Melbourne. By disseminating such data, this study attempts to clarify the issue not just in Western Victoria but in regional/rural areas of other Western countries and how they compare to regional Victoria. This includes comparing transport options made available to similar areas and likely solutions for these issues. Ultimately, this will expose global problems experienced by those in rural areas with limited connectivity and minimal transport options.</w:t>
      </w:r>
    </w:p>
    <w:p w14:paraId="539FA763" w14:textId="77777777" w:rsidR="0048524B" w:rsidRDefault="0048524B"/>
    <w:p w14:paraId="2EE56692" w14:textId="478CBBE0" w:rsidR="0048524B" w:rsidRDefault="0048524B">
      <w:r w:rsidRPr="002E1C1E">
        <w:rPr>
          <w:b/>
          <w:noProof/>
        </w:rPr>
        <w:t>Zhengqi</w:t>
      </w:r>
      <w:r w:rsidRPr="008357DE">
        <w:rPr>
          <w:b/>
        </w:rPr>
        <w:t xml:space="preserve"> </w:t>
      </w:r>
      <w:r w:rsidRPr="002E1C1E">
        <w:rPr>
          <w:b/>
          <w:noProof/>
        </w:rPr>
        <w:t>Guo</w:t>
      </w:r>
      <w:r w:rsidRPr="008357DE">
        <w:rPr>
          <w:b/>
        </w:rPr>
        <w:t xml:space="preserve"> </w:t>
      </w:r>
      <w:r>
        <w:rPr>
          <w:b/>
        </w:rPr>
        <w:t xml:space="preserve"> </w:t>
      </w:r>
      <w:r w:rsidRPr="008357DE">
        <w:t>(</w:t>
      </w:r>
      <w:r>
        <w:rPr>
          <w:noProof/>
        </w:rPr>
        <w:t>Monash University Australia</w:t>
      </w:r>
      <w:r w:rsidR="006952F8">
        <w:t>)</w:t>
      </w:r>
    </w:p>
    <w:p w14:paraId="319CAE34" w14:textId="77777777" w:rsidR="0048524B" w:rsidRDefault="0048524B">
      <w:pPr>
        <w:rPr>
          <w:i/>
        </w:rPr>
      </w:pPr>
      <w:r w:rsidRPr="002E1C1E">
        <w:rPr>
          <w:i/>
          <w:noProof/>
        </w:rPr>
        <w:t>Australian Bank Misconducts and Toxic Culture: Examining the failed governance of ANZ and CBA</w:t>
      </w:r>
    </w:p>
    <w:p w14:paraId="62D3DF73" w14:textId="77777777" w:rsidR="0048524B" w:rsidRDefault="0048524B" w:rsidP="00AC7DBF">
      <w:pPr>
        <w:rPr>
          <w:noProof/>
        </w:rPr>
      </w:pPr>
      <w:r>
        <w:rPr>
          <w:noProof/>
        </w:rPr>
        <w:t>In recent times, the misconduct of Australia’s leading bank organisations has made headlines, involving $1 billion worth of fines and more than 50 scandals since 2009. However, Australian bank senior managers seem unaffected and oblivious to any wrongdoings.</w:t>
      </w:r>
    </w:p>
    <w:p w14:paraId="75302174" w14:textId="77777777" w:rsidR="0048524B" w:rsidRDefault="0048524B" w:rsidP="00AC7DBF">
      <w:pPr>
        <w:rPr>
          <w:noProof/>
        </w:rPr>
      </w:pPr>
      <w:r>
        <w:rPr>
          <w:noProof/>
        </w:rPr>
        <w:t>This research uncovers this misbehaviour through a comparative case study of two major Australian banks: CBA and ANZ. Overall, the project aimed to investigate the toxic culture of governance which has led to the banking industry’s unethical behaviours, to raise public awareness of bank regulations and to help improve bank regulation methods.</w:t>
      </w:r>
    </w:p>
    <w:p w14:paraId="528067CF" w14:textId="77777777" w:rsidR="0048524B" w:rsidRDefault="0048524B" w:rsidP="00AC7DBF">
      <w:pPr>
        <w:rPr>
          <w:noProof/>
        </w:rPr>
      </w:pPr>
      <w:r>
        <w:rPr>
          <w:noProof/>
        </w:rPr>
        <w:t>A literature review of both CBA and ANZ was conducted investigating corporate governance theories, newspaper articles, magazines and regression models. ANZ and CBA annual reports and other market reports were also compared to uncover why each governance framework has failed to stop banks from misconducts.</w:t>
      </w:r>
    </w:p>
    <w:p w14:paraId="231B5607" w14:textId="77777777" w:rsidR="0048524B" w:rsidRDefault="0048524B" w:rsidP="00AC7DBF">
      <w:pPr>
        <w:rPr>
          <w:noProof/>
        </w:rPr>
      </w:pPr>
      <w:r>
        <w:rPr>
          <w:noProof/>
        </w:rPr>
        <w:t>The results suggest that even if good governance framework is in place, toxic bank culture can impair the execution, where senior managers protect each other and breach rules for personal gain. The study also revealed that stronger regulations and public supervision are needed, and better investigation methods should be developed to cope with banks’ misconducts.</w:t>
      </w:r>
    </w:p>
    <w:p w14:paraId="6AC01E9C" w14:textId="77777777" w:rsidR="0048524B" w:rsidRDefault="0048524B">
      <w:r>
        <w:rPr>
          <w:noProof/>
        </w:rPr>
        <w:t>Australian banks play a major role in shaping Australian society and culture. They hold the majority of financial assets and are involved in almost all other facets of financial intermediation. We must take action against this toxic culture to ensure a sustainable growing economy for many years to come.</w:t>
      </w:r>
    </w:p>
    <w:p w14:paraId="67633F3B" w14:textId="77777777" w:rsidR="0048524B" w:rsidRDefault="0048524B"/>
    <w:p w14:paraId="657D9E3C" w14:textId="78A69309" w:rsidR="0048524B" w:rsidRDefault="0048524B">
      <w:r w:rsidRPr="002E1C1E">
        <w:rPr>
          <w:b/>
          <w:noProof/>
        </w:rPr>
        <w:lastRenderedPageBreak/>
        <w:t>Stefania</w:t>
      </w:r>
      <w:r w:rsidRPr="008357DE">
        <w:rPr>
          <w:b/>
        </w:rPr>
        <w:t xml:space="preserve"> </w:t>
      </w:r>
      <w:r w:rsidRPr="002E1C1E">
        <w:rPr>
          <w:b/>
          <w:noProof/>
        </w:rPr>
        <w:t>Cerruti</w:t>
      </w:r>
      <w:r w:rsidRPr="008357DE">
        <w:rPr>
          <w:b/>
        </w:rPr>
        <w:t xml:space="preserve"> </w:t>
      </w:r>
      <w:r>
        <w:rPr>
          <w:b/>
        </w:rPr>
        <w:t xml:space="preserve"> </w:t>
      </w:r>
      <w:r w:rsidRPr="008357DE">
        <w:t>(</w:t>
      </w:r>
      <w:r>
        <w:rPr>
          <w:noProof/>
        </w:rPr>
        <w:t>University of Warwick</w:t>
      </w:r>
      <w:r w:rsidR="006952F8">
        <w:t>)</w:t>
      </w:r>
    </w:p>
    <w:p w14:paraId="1F2C61E7" w14:textId="77777777" w:rsidR="0048524B" w:rsidRDefault="0048524B">
      <w:pPr>
        <w:rPr>
          <w:i/>
        </w:rPr>
      </w:pPr>
      <w:r w:rsidRPr="002E1C1E">
        <w:rPr>
          <w:i/>
          <w:noProof/>
        </w:rPr>
        <w:t>An Analysis of Migrants’ Expectations Within Italian Asylum Seekers Centres</w:t>
      </w:r>
    </w:p>
    <w:p w14:paraId="04B4A94C" w14:textId="77777777" w:rsidR="0048524B" w:rsidRDefault="0048524B" w:rsidP="00AC7DBF">
      <w:pPr>
        <w:rPr>
          <w:noProof/>
        </w:rPr>
      </w:pPr>
      <w:r>
        <w:rPr>
          <w:noProof/>
        </w:rPr>
        <w:t>The aim of this research is to analyse what factors affect asylum seekers’ expectations the most. Studying agents’ expectations is important because of their relationship with present behaviour: the higher expectations about the future are, the more positive someone will be in the present. In the Italian immigration context, investigating expectations is particularly relevant to decide what policies to put in place to facilitate integration.</w:t>
      </w:r>
    </w:p>
    <w:p w14:paraId="21CF7BF0" w14:textId="77777777" w:rsidR="0048524B" w:rsidRDefault="0048524B">
      <w:r>
        <w:rPr>
          <w:noProof/>
        </w:rPr>
        <w:t>This study is conducted on a novel data set collected in 2018 in two asylum seekers’ centres in Italy. Several expectation variables are used to have a well-rounded understanding of the migrants’ perception about their life in a year’s time, including expectations of obtaining international protection, finding a job, staying in Italy, starting a family. The factors taken into consideration are the type of hosting centre they are in, how frequently they practice Italian and the internships and courses they have undertaken.</w:t>
      </w:r>
    </w:p>
    <w:p w14:paraId="2FD269ED" w14:textId="77777777" w:rsidR="0048524B" w:rsidRDefault="0048524B"/>
    <w:p w14:paraId="3636645E" w14:textId="72013D88" w:rsidR="0048524B" w:rsidRDefault="0048524B">
      <w:r w:rsidRPr="002E1C1E">
        <w:rPr>
          <w:b/>
          <w:noProof/>
        </w:rPr>
        <w:t>Lenette</w:t>
      </w:r>
      <w:r w:rsidRPr="008357DE">
        <w:rPr>
          <w:b/>
        </w:rPr>
        <w:t xml:space="preserve"> </w:t>
      </w:r>
      <w:r w:rsidRPr="002E1C1E">
        <w:rPr>
          <w:b/>
          <w:noProof/>
        </w:rPr>
        <w:t>Lua</w:t>
      </w:r>
      <w:r w:rsidRPr="008357DE">
        <w:rPr>
          <w:b/>
        </w:rPr>
        <w:t xml:space="preserve"> </w:t>
      </w:r>
      <w:r>
        <w:rPr>
          <w:b/>
        </w:rPr>
        <w:t xml:space="preserve"> </w:t>
      </w:r>
      <w:r w:rsidRPr="008357DE">
        <w:t>(</w:t>
      </w:r>
      <w:r>
        <w:rPr>
          <w:noProof/>
        </w:rPr>
        <w:t>University of Warwick</w:t>
      </w:r>
      <w:r w:rsidR="006952F8">
        <w:t>)</w:t>
      </w:r>
    </w:p>
    <w:p w14:paraId="5FB5379F" w14:textId="77777777" w:rsidR="0048524B" w:rsidRDefault="0048524B">
      <w:pPr>
        <w:rPr>
          <w:i/>
        </w:rPr>
      </w:pPr>
      <w:r w:rsidRPr="002E1C1E">
        <w:rPr>
          <w:i/>
          <w:noProof/>
        </w:rPr>
        <w:t>Feminism under Censorship: Development of feminism in rural and urban regions of China</w:t>
      </w:r>
    </w:p>
    <w:p w14:paraId="4623C7EC" w14:textId="77777777" w:rsidR="0048524B" w:rsidRDefault="0048524B" w:rsidP="00AC7DBF">
      <w:pPr>
        <w:rPr>
          <w:noProof/>
        </w:rPr>
      </w:pPr>
      <w:r>
        <w:rPr>
          <w:noProof/>
        </w:rPr>
        <w:t>In 2015, five feminist activists were detained by the police when distributing flyers to raise the awareness of sexual harassment on public transport in China. In 2018, the most renowned feminist online account on Weibo, Feminist Voices, was deleted. Censorship in China threatens the rights and happiness of millions of Chinese women. According to the 2017 Global Gender Gap Report, China was ranked 100 out of 144 countries for gender equality; and its gender income gap continues widening since 1980s. The purpose of the research is to increase the awareness of feminist development in China by combating state censorship.</w:t>
      </w:r>
    </w:p>
    <w:p w14:paraId="65B9778F" w14:textId="77777777" w:rsidR="0048524B" w:rsidRDefault="0048524B">
      <w:r>
        <w:rPr>
          <w:noProof/>
        </w:rPr>
        <w:t>Many contemporary studies have discovered the severity of gender inequality in urban regions of China. (Kim et al., 2010; Ji et al., 2017) However, few studies have looked into the rural regions of China. By conducting online surveys, interviews and examining case studies in both rural and urban regions of China, this paper examines how Chinese citizens perceive gender roles and censorship. Comparing the outcomes of regions is crucial in determining the impact of education on eliminating gender inequality. The qualitative research studies the impact of censorship on feminist development, and concludes that censorship creates a vicious cycle, hindering the development and localisation of feminism: Smiling Chinese Feminism. The adapted feminism concept highlights the ‘harmony between men and women’ that is more suitable in the social and political context of China. (Yanfang, 2005; Dongping, 2006; Spakowski, 2011) The research highlights the negative impact of censorship beyond gender equality, showing that gender discrimination hinders birth rate and economic productivity while accelerating the pace of an ageing society, urging the development of localised feminism.</w:t>
      </w:r>
    </w:p>
    <w:p w14:paraId="172C8617" w14:textId="77777777" w:rsidR="0048524B" w:rsidRDefault="0048524B"/>
    <w:p w14:paraId="56D82098" w14:textId="77777777" w:rsidR="006952F8" w:rsidRDefault="006952F8">
      <w:pPr>
        <w:rPr>
          <w:b/>
          <w:noProof/>
        </w:rPr>
      </w:pPr>
      <w:r>
        <w:rPr>
          <w:b/>
          <w:noProof/>
        </w:rPr>
        <w:br w:type="page"/>
      </w:r>
    </w:p>
    <w:p w14:paraId="601DCF49" w14:textId="37BF56A3" w:rsidR="006952F8" w:rsidRDefault="006952F8" w:rsidP="006952F8">
      <w:pPr>
        <w:pStyle w:val="Heading1"/>
      </w:pPr>
      <w:r w:rsidRPr="006952F8">
        <w:lastRenderedPageBreak/>
        <w:t>Panel 16B: Health and Wellbeing</w:t>
      </w:r>
    </w:p>
    <w:p w14:paraId="426B8D25" w14:textId="77777777" w:rsidR="006952F8" w:rsidRPr="006952F8" w:rsidRDefault="006952F8" w:rsidP="006952F8"/>
    <w:p w14:paraId="2220CB5E" w14:textId="6EA2070E" w:rsidR="0048524B" w:rsidRDefault="0048524B">
      <w:r w:rsidRPr="002E1C1E">
        <w:rPr>
          <w:b/>
          <w:noProof/>
        </w:rPr>
        <w:t>Madeline</w:t>
      </w:r>
      <w:r w:rsidRPr="008357DE">
        <w:rPr>
          <w:b/>
        </w:rPr>
        <w:t xml:space="preserve"> </w:t>
      </w:r>
      <w:r w:rsidRPr="002E1C1E">
        <w:rPr>
          <w:b/>
          <w:noProof/>
        </w:rPr>
        <w:t>Gordon</w:t>
      </w:r>
      <w:r w:rsidRPr="008357DE">
        <w:rPr>
          <w:b/>
        </w:rPr>
        <w:t xml:space="preserve"> </w:t>
      </w:r>
      <w:r>
        <w:rPr>
          <w:b/>
        </w:rPr>
        <w:t xml:space="preserve"> </w:t>
      </w:r>
      <w:r w:rsidRPr="008357DE">
        <w:t>(</w:t>
      </w:r>
      <w:r>
        <w:rPr>
          <w:noProof/>
        </w:rPr>
        <w:t>Monash University Australia</w:t>
      </w:r>
      <w:r w:rsidR="006952F8">
        <w:t>)</w:t>
      </w:r>
    </w:p>
    <w:p w14:paraId="5F2692AA" w14:textId="77777777" w:rsidR="0048524B" w:rsidRDefault="0048524B">
      <w:pPr>
        <w:rPr>
          <w:i/>
        </w:rPr>
      </w:pPr>
      <w:r w:rsidRPr="002E1C1E">
        <w:rPr>
          <w:i/>
          <w:noProof/>
        </w:rPr>
        <w:t>Incorporating Conductivity into Photoreversible Self-Healing Polymers for the Development of Flexible Electronics</w:t>
      </w:r>
    </w:p>
    <w:p w14:paraId="65D56277" w14:textId="77777777" w:rsidR="0048524B" w:rsidRDefault="0048524B">
      <w:r>
        <w:rPr>
          <w:noProof/>
        </w:rPr>
        <w:t>Self-healing polymers are materials with the built-in capability to repair from damage. Through this, the lifespan of polymeric materials is increased, and it offers a potential solution to address the growing amount of plastic waste. These materials have also attracted increasing attention due to their wide range of applications, with obvious advantages in the development of conductive materials. A conductive self-healing material is promising for the development of self-healing electronics, particularly with the tuning of further properties such as transparency and flexibility. A novel coumarin-derived 4-arm monomer was synthesised that has the ability to undergo photoreversible polymerisation, and hence was shown to exhibit self-healing behaviour. From this polymer, a variety of application techniques were developed that enable the extension of this ability to a circuit of the conductive polymer PEDOT/PSS, producing a self-healing conductive material. These techniques were assessed for the most effective method which allowed for healing with high recovery of conductivity and mechanical durability, leading to a promising candidate for a flexible self-healing electronic device.</w:t>
      </w:r>
    </w:p>
    <w:p w14:paraId="462F5FD9" w14:textId="77777777" w:rsidR="0048524B" w:rsidRDefault="0048524B"/>
    <w:p w14:paraId="227CE1E6" w14:textId="613F6CFA" w:rsidR="0048524B" w:rsidRDefault="0048524B">
      <w:r w:rsidRPr="002E1C1E">
        <w:rPr>
          <w:b/>
          <w:noProof/>
        </w:rPr>
        <w:t>Lai Ming Kathleen</w:t>
      </w:r>
      <w:r w:rsidRPr="008357DE">
        <w:rPr>
          <w:b/>
        </w:rPr>
        <w:t xml:space="preserve"> </w:t>
      </w:r>
      <w:r w:rsidRPr="002E1C1E">
        <w:rPr>
          <w:b/>
          <w:noProof/>
        </w:rPr>
        <w:t>Pak</w:t>
      </w:r>
      <w:r w:rsidRPr="008357DE">
        <w:rPr>
          <w:b/>
        </w:rPr>
        <w:t xml:space="preserve"> </w:t>
      </w:r>
      <w:r>
        <w:rPr>
          <w:b/>
        </w:rPr>
        <w:t xml:space="preserve"> </w:t>
      </w:r>
      <w:r w:rsidRPr="008357DE">
        <w:t>(</w:t>
      </w:r>
      <w:r>
        <w:rPr>
          <w:noProof/>
        </w:rPr>
        <w:t>Monash University Australia</w:t>
      </w:r>
      <w:r w:rsidR="006952F8">
        <w:t>)</w:t>
      </w:r>
    </w:p>
    <w:p w14:paraId="2BF2F4C5" w14:textId="77777777" w:rsidR="0048524B" w:rsidRDefault="0048524B">
      <w:pPr>
        <w:rPr>
          <w:i/>
        </w:rPr>
      </w:pPr>
      <w:r w:rsidRPr="002E1C1E">
        <w:rPr>
          <w:i/>
          <w:noProof/>
        </w:rPr>
        <w:t>Early Versus Late Diagnosis of Gestational Diabetes Associated with Greater Need for Pharmacotherapy but Similar Maternal and Neonatal Outcomes</w:t>
      </w:r>
    </w:p>
    <w:p w14:paraId="22A4F698" w14:textId="77777777" w:rsidR="0048524B" w:rsidRDefault="0048524B" w:rsidP="00AC7DBF">
      <w:pPr>
        <w:rPr>
          <w:noProof/>
        </w:rPr>
      </w:pPr>
      <w:r>
        <w:rPr>
          <w:noProof/>
        </w:rPr>
        <w:t>Due to known adverse maternal and foetal outcomes associated with gestational diabetes mellitus (GDM), consensus guidelines worldwide recommend screening pregnant women with known risk factors for GDM at their booking visit, prior to the usual 24- to 28-week window. However, there is limited evidence on whether early intervention necessarily portends benefit. The aim of this study is to evaluate the impact of early GDM diagnosis and intervention on maternal and foetal outcomes.</w:t>
      </w:r>
    </w:p>
    <w:p w14:paraId="2D94F492" w14:textId="77777777" w:rsidR="0048524B" w:rsidRDefault="0048524B" w:rsidP="00AC7DBF">
      <w:pPr>
        <w:rPr>
          <w:noProof/>
        </w:rPr>
      </w:pPr>
      <w:r>
        <w:rPr>
          <w:noProof/>
        </w:rPr>
        <w:t>This retrospective, cohort study analysed maternal characteristics, time of diagnosis, treatment and pregnancy outcomes in women diagnosed with GDM attending the Royal North Shore Hospital in Sydney from 2012 to 2017. Early GDM and late GDM were defined as GDM diagnosed before, and after 24 weeks’ gestation respectively.</w:t>
      </w:r>
    </w:p>
    <w:p w14:paraId="4677463A" w14:textId="77777777" w:rsidR="0048524B" w:rsidRDefault="0048524B" w:rsidP="00AC7DBF">
      <w:pPr>
        <w:rPr>
          <w:noProof/>
        </w:rPr>
      </w:pPr>
      <w:r>
        <w:rPr>
          <w:noProof/>
        </w:rPr>
        <w:t>Of 513 women with GDM, 148 (29 per cent) were diagnosed early in pregnancy. Women with early GDM had a greater need for anti-hyperglycaemic treatment, compared to women with late GDM (p&lt;0.05).</w:t>
      </w:r>
    </w:p>
    <w:p w14:paraId="68CDF9F5" w14:textId="77777777" w:rsidR="0048524B" w:rsidRDefault="0048524B">
      <w:r>
        <w:rPr>
          <w:noProof/>
        </w:rPr>
        <w:t>In conclusion, maternal and foetal outcomes were comparable between women with early GDM and those with late GDM. While this study is unable to identify if early GDM diagnosis and/or intervention alters the natural history of pregnancies in high-risk women, there remains no debate that early detection of GDM is essential for optimal maternal and foetal wellbeing.</w:t>
      </w:r>
    </w:p>
    <w:p w14:paraId="40FB1282" w14:textId="77777777" w:rsidR="0048524B" w:rsidRDefault="0048524B"/>
    <w:p w14:paraId="3602B43E" w14:textId="77777777" w:rsidR="006952F8" w:rsidRDefault="006952F8">
      <w:pPr>
        <w:rPr>
          <w:b/>
          <w:noProof/>
        </w:rPr>
      </w:pPr>
      <w:r>
        <w:rPr>
          <w:b/>
          <w:noProof/>
        </w:rPr>
        <w:br w:type="page"/>
      </w:r>
    </w:p>
    <w:p w14:paraId="7B01CB48" w14:textId="3472DFDB" w:rsidR="0048524B" w:rsidRDefault="0048524B">
      <w:r w:rsidRPr="002E1C1E">
        <w:rPr>
          <w:b/>
          <w:noProof/>
        </w:rPr>
        <w:lastRenderedPageBreak/>
        <w:t>Alexandra</w:t>
      </w:r>
      <w:r w:rsidRPr="008357DE">
        <w:rPr>
          <w:b/>
        </w:rPr>
        <w:t xml:space="preserve"> </w:t>
      </w:r>
      <w:r w:rsidRPr="002E1C1E">
        <w:rPr>
          <w:b/>
          <w:noProof/>
        </w:rPr>
        <w:t>Holmes</w:t>
      </w:r>
      <w:r w:rsidRPr="008357DE">
        <w:rPr>
          <w:b/>
        </w:rPr>
        <w:t xml:space="preserve"> </w:t>
      </w:r>
      <w:r>
        <w:rPr>
          <w:b/>
        </w:rPr>
        <w:t xml:space="preserve"> </w:t>
      </w:r>
      <w:r w:rsidRPr="008357DE">
        <w:t>(</w:t>
      </w:r>
      <w:r>
        <w:rPr>
          <w:noProof/>
        </w:rPr>
        <w:t>University of Leeds</w:t>
      </w:r>
      <w:r w:rsidR="006952F8">
        <w:t>)</w:t>
      </w:r>
    </w:p>
    <w:p w14:paraId="0EE082FE" w14:textId="77777777" w:rsidR="0048524B" w:rsidRDefault="0048524B">
      <w:pPr>
        <w:rPr>
          <w:i/>
        </w:rPr>
      </w:pPr>
      <w:r w:rsidRPr="002E1C1E">
        <w:rPr>
          <w:i/>
          <w:noProof/>
        </w:rPr>
        <w:t>Characterisation of Potential Anti-Chlamydial Drug Targets</w:t>
      </w:r>
    </w:p>
    <w:p w14:paraId="560E0B3C" w14:textId="77777777" w:rsidR="0048524B" w:rsidRDefault="0048524B" w:rsidP="00AC7DBF">
      <w:pPr>
        <w:rPr>
          <w:noProof/>
        </w:rPr>
      </w:pPr>
      <w:r>
        <w:rPr>
          <w:noProof/>
        </w:rPr>
        <w:t>Chlamydia trachomatis is a species of clinically relevant obligate intracellular bacteria. Chlamydial infections are the leading cause of sexually transmitted disease and non-congenital blindness, a large-scale health risk and financial burden. As currently used antibiotics are inadequate at controlling these infections, there is a pressing need for improved therapies. Therefore, new leads towards treating these infections have the potential for a large societal impact.</w:t>
      </w:r>
    </w:p>
    <w:p w14:paraId="73D1E924" w14:textId="77777777" w:rsidR="0048524B" w:rsidRDefault="0048524B" w:rsidP="00AC7DBF">
      <w:pPr>
        <w:rPr>
          <w:noProof/>
        </w:rPr>
      </w:pPr>
      <w:r>
        <w:rPr>
          <w:noProof/>
        </w:rPr>
        <w:t>Due to a reduced genome and lack of biosynthesis pathways, this species is unable to make its own nucleotides. These are molecules which are essential for producing energy and DNA. Therefore, C. trachomatis needs to acquire these nucleotides via an alternative mechanism. It depends on the two transporters, Npt1Ct and Npt2Ct. Transporters are proteins in the cell membrane that move molecules into and out of the cell. Blockade of these transporters could lead to nucleotide starvation and represent a novel anti-chlamydial therapy. Despite their clinical relevance, little is known about these transporters.</w:t>
      </w:r>
    </w:p>
    <w:p w14:paraId="56E9FCF1" w14:textId="77777777" w:rsidR="0048524B" w:rsidRDefault="0048524B" w:rsidP="00AC7DBF">
      <w:pPr>
        <w:rPr>
          <w:noProof/>
        </w:rPr>
      </w:pPr>
      <w:r>
        <w:rPr>
          <w:noProof/>
        </w:rPr>
        <w:t>Drug development increasingly depends on information about the shape of the transporter and how it binds and transports molecules. In order to gain a better understanding of these aspects of Npt1Ct and Npt2Ct, the protein structures were computationally modelled using a similar transporter as a template. Following this, relevant nucleotides were computationally docked into these models to define important regions and amino acids.</w:t>
      </w:r>
    </w:p>
    <w:p w14:paraId="699994EC" w14:textId="77777777" w:rsidR="0048524B" w:rsidRDefault="0048524B">
      <w:r>
        <w:rPr>
          <w:noProof/>
        </w:rPr>
        <w:t>This work provides a foundation for further study of the structure, function and mechanism of these transporters, which contributes both to scientific knowledge, and could facilitate the development of anti-chlamydial treatments.</w:t>
      </w:r>
    </w:p>
    <w:p w14:paraId="43F306BD" w14:textId="77777777" w:rsidR="0048524B" w:rsidRDefault="0048524B"/>
    <w:p w14:paraId="5D5654CE" w14:textId="26FC3465" w:rsidR="0048524B" w:rsidRDefault="0048524B">
      <w:r w:rsidRPr="002E1C1E">
        <w:rPr>
          <w:b/>
          <w:noProof/>
        </w:rPr>
        <w:t>Chelsea</w:t>
      </w:r>
      <w:r w:rsidRPr="008357DE">
        <w:rPr>
          <w:b/>
        </w:rPr>
        <w:t xml:space="preserve"> </w:t>
      </w:r>
      <w:r w:rsidRPr="002E1C1E">
        <w:rPr>
          <w:b/>
          <w:noProof/>
        </w:rPr>
        <w:t>Pamplin</w:t>
      </w:r>
      <w:r w:rsidRPr="008357DE">
        <w:rPr>
          <w:b/>
        </w:rPr>
        <w:t xml:space="preserve"> </w:t>
      </w:r>
      <w:r>
        <w:rPr>
          <w:b/>
        </w:rPr>
        <w:t xml:space="preserve"> </w:t>
      </w:r>
      <w:r w:rsidRPr="008357DE">
        <w:t>(</w:t>
      </w:r>
      <w:r>
        <w:rPr>
          <w:noProof/>
        </w:rPr>
        <w:t>University of Leeds</w:t>
      </w:r>
      <w:r w:rsidR="006952F8">
        <w:t>)</w:t>
      </w:r>
    </w:p>
    <w:p w14:paraId="54003C00" w14:textId="77777777" w:rsidR="0048524B" w:rsidRDefault="0048524B">
      <w:pPr>
        <w:rPr>
          <w:i/>
        </w:rPr>
      </w:pPr>
      <w:r w:rsidRPr="002E1C1E">
        <w:rPr>
          <w:i/>
          <w:noProof/>
        </w:rPr>
        <w:t>An In Vitro Study of the Neuroprotective Effects of REST: Implications for Alzheimer’s disease</w:t>
      </w:r>
    </w:p>
    <w:p w14:paraId="280AABAF" w14:textId="77777777" w:rsidR="0048524B" w:rsidRDefault="0048524B" w:rsidP="00AC7DBF">
      <w:pPr>
        <w:rPr>
          <w:noProof/>
        </w:rPr>
      </w:pPr>
      <w:r>
        <w:rPr>
          <w:noProof/>
        </w:rPr>
        <w:t>It has recently been shown that a protein called RE1-silencing transcription factor (REST) is upregulated in healthy brains with age but not in those with Alzheimer’s disease, suggesting a protective function of the protein. Specifically, I researched the impact REST has on the cyclin-dependent kinase 5 (CDK5) pathway and oxidative stress-induced cell death, both of which are well established as pathological aspects of the disease. To do this, I developed two objectives: (i) To investigate whether increasing REST expression decreases levels of two CDK5 activators, p. 35 and p. 39; and (ii) To examine how REST expression and CDK5 activity affect cellular response to oxidative stress.</w:t>
      </w:r>
    </w:p>
    <w:p w14:paraId="3C6930B1" w14:textId="77777777" w:rsidR="0048524B" w:rsidRDefault="0048524B">
      <w:r>
        <w:rPr>
          <w:noProof/>
        </w:rPr>
        <w:t xml:space="preserve">Oxidative stress refers to an adverse state whereby cells cannot sufficiently prevent or repair damage caused by reactive oxygen species (ROS) such as hydrogen peroxide. The ageing process is characterised by a progressive decline in the efficiency of all physiological functions, including cellular ability to regulate ROS; this is reflected by studies describing age-dependent increases in oxidative damage. Thus it is hypothesised that by decreasing CDK5 activity REST could provide protection against Alzheimer’s disease through improving cellular response to oxidative stress. It is important to mention that REST affects the levels of around 2000 genes; therefore, this protective effect is likely through multiple pathways. However, providing evidence of neuroprotection through </w:t>
      </w:r>
      <w:r>
        <w:rPr>
          <w:noProof/>
        </w:rPr>
        <w:lastRenderedPageBreak/>
        <w:t>CDK5 regulation is important as this forms the basis of a causal link to what was previously a suggestive association between REST and Alzheimer’s disease.</w:t>
      </w:r>
    </w:p>
    <w:p w14:paraId="2A7DC128" w14:textId="77777777" w:rsidR="0048524B" w:rsidRDefault="0048524B"/>
    <w:p w14:paraId="6E3F0C6E" w14:textId="77777777" w:rsidR="006952F8" w:rsidRDefault="006952F8">
      <w:pPr>
        <w:rPr>
          <w:b/>
          <w:noProof/>
        </w:rPr>
      </w:pPr>
      <w:r>
        <w:rPr>
          <w:b/>
          <w:noProof/>
        </w:rPr>
        <w:br w:type="page"/>
      </w:r>
    </w:p>
    <w:p w14:paraId="617158E7" w14:textId="63278ADE" w:rsidR="006952F8" w:rsidRDefault="006952F8" w:rsidP="006952F8">
      <w:pPr>
        <w:pStyle w:val="Heading1"/>
      </w:pPr>
      <w:r w:rsidRPr="006952F8">
        <w:lastRenderedPageBreak/>
        <w:t>Panel 16C: Culture, Representation and Access</w:t>
      </w:r>
    </w:p>
    <w:p w14:paraId="7F0746B4" w14:textId="77777777" w:rsidR="006952F8" w:rsidRPr="006952F8" w:rsidRDefault="006952F8" w:rsidP="006952F8"/>
    <w:p w14:paraId="3567E09E" w14:textId="3C39CD05" w:rsidR="0048524B" w:rsidRDefault="0048524B">
      <w:r w:rsidRPr="002E1C1E">
        <w:rPr>
          <w:b/>
          <w:noProof/>
        </w:rPr>
        <w:t>Kara</w:t>
      </w:r>
      <w:r w:rsidRPr="008357DE">
        <w:rPr>
          <w:b/>
        </w:rPr>
        <w:t xml:space="preserve"> </w:t>
      </w:r>
      <w:r w:rsidRPr="002E1C1E">
        <w:rPr>
          <w:b/>
          <w:noProof/>
        </w:rPr>
        <w:t>Robinson</w:t>
      </w:r>
      <w:r w:rsidRPr="008357DE">
        <w:rPr>
          <w:b/>
        </w:rPr>
        <w:t xml:space="preserve"> </w:t>
      </w:r>
      <w:r>
        <w:rPr>
          <w:b/>
        </w:rPr>
        <w:t xml:space="preserve"> </w:t>
      </w:r>
      <w:r w:rsidRPr="008357DE">
        <w:t>(</w:t>
      </w:r>
      <w:r>
        <w:rPr>
          <w:noProof/>
        </w:rPr>
        <w:t>Monash University Australia</w:t>
      </w:r>
      <w:r w:rsidR="006952F8">
        <w:t>)</w:t>
      </w:r>
    </w:p>
    <w:p w14:paraId="6D20D301" w14:textId="77777777" w:rsidR="0048524B" w:rsidRDefault="0048524B">
      <w:pPr>
        <w:rPr>
          <w:i/>
        </w:rPr>
      </w:pPr>
      <w:r w:rsidRPr="002E1C1E">
        <w:rPr>
          <w:i/>
          <w:noProof/>
        </w:rPr>
        <w:t>In-situ Biofilter Plant Root Traits: A comparison between field and lab</w:t>
      </w:r>
    </w:p>
    <w:p w14:paraId="1F4BC3C1" w14:textId="77777777" w:rsidR="0048524B" w:rsidRDefault="0048524B">
      <w:r>
        <w:rPr>
          <w:noProof/>
        </w:rPr>
        <w:t>Biofilters comprise an important component of integrated urban water management, treating stormwater through a vegetated filter media. Studies have shown that plant species differ in their capacity to remove nitrogen and phosphorous from stormwater, due in part to their functional root traits, for which literature values have been obtained through laboratory column studies. However, little is known about how functional root traits in biofilter-grown plants differ from those grown in laboratory columns. In this study, functional root traits were measured for root samples of Lomandra longifolia in four biofilters in Melbourne, Australia using the image analysis software Image J and compared these with literature values. It was found that the SRL, ARD and PFR of field biofilter-grown L. longifolia plants varied greatly between biofilter and do not differ significantly from those of laboratory-grown plants. It was also found that the higher-precision image analysis methodology in this study resulted in the detection of fine roots under 0.16mm, which comprised up to 56.9 per cent of total root length in some samples. The benefits of this more precise root measurement methodology and the factors influencing variability in functional root traits between biofilters were discussed and suggestions for future research were identified. The results of this study support the use of functional root trait values derived from laboratory-grown plants in modelling and other applications.</w:t>
      </w:r>
    </w:p>
    <w:p w14:paraId="38A1764A" w14:textId="77777777" w:rsidR="0048524B" w:rsidRDefault="0048524B"/>
    <w:p w14:paraId="2543D10C" w14:textId="5ABE7D44" w:rsidR="0048524B" w:rsidRDefault="0048524B">
      <w:r w:rsidRPr="002E1C1E">
        <w:rPr>
          <w:b/>
          <w:noProof/>
        </w:rPr>
        <w:t>Nicholas</w:t>
      </w:r>
      <w:r w:rsidRPr="008357DE">
        <w:rPr>
          <w:b/>
        </w:rPr>
        <w:t xml:space="preserve"> </w:t>
      </w:r>
      <w:r w:rsidRPr="002E1C1E">
        <w:rPr>
          <w:b/>
          <w:noProof/>
        </w:rPr>
        <w:t>Reader</w:t>
      </w:r>
      <w:r w:rsidRPr="008357DE">
        <w:rPr>
          <w:b/>
        </w:rPr>
        <w:t xml:space="preserve"> </w:t>
      </w:r>
      <w:r>
        <w:rPr>
          <w:b/>
        </w:rPr>
        <w:t xml:space="preserve"> </w:t>
      </w:r>
      <w:r w:rsidRPr="008357DE">
        <w:t>(</w:t>
      </w:r>
      <w:r>
        <w:rPr>
          <w:noProof/>
        </w:rPr>
        <w:t>Monash University Australia</w:t>
      </w:r>
      <w:r w:rsidR="006952F8">
        <w:t>)</w:t>
      </w:r>
    </w:p>
    <w:p w14:paraId="35B77CDF" w14:textId="77777777" w:rsidR="0048524B" w:rsidRDefault="0048524B">
      <w:pPr>
        <w:rPr>
          <w:i/>
        </w:rPr>
      </w:pPr>
      <w:r w:rsidRPr="002E1C1E">
        <w:rPr>
          <w:i/>
          <w:noProof/>
        </w:rPr>
        <w:t>Student Perceptions of Physical Representations of Indigenous Culture at Monash University</w:t>
      </w:r>
    </w:p>
    <w:p w14:paraId="5B3E43BD" w14:textId="77777777" w:rsidR="0048524B" w:rsidRDefault="0048524B" w:rsidP="00AC7DBF">
      <w:pPr>
        <w:rPr>
          <w:noProof/>
        </w:rPr>
      </w:pPr>
      <w:r>
        <w:rPr>
          <w:noProof/>
        </w:rPr>
        <w:t>In this study, we sought to catalogue physical representations of Indigenous culture on Monash campuses. We also surveyed students to find how they engage with these representations. Lastly, we spoke with several key stakeholders, including Monash Indigenous staff and students, the Elder-in-residence at Monash and representatives from Building and Planning. We found that all stakeholders at Monash are keen to see the addition of many more sites of Indigenous representation.</w:t>
      </w:r>
    </w:p>
    <w:p w14:paraId="7EB9837F" w14:textId="77777777" w:rsidR="0048524B" w:rsidRDefault="0048524B" w:rsidP="00AC7DBF">
      <w:pPr>
        <w:rPr>
          <w:noProof/>
        </w:rPr>
      </w:pPr>
      <w:r>
        <w:rPr>
          <w:noProof/>
        </w:rPr>
        <w:t>We found that Monash does have many sites of physical representation of Indigenous culture, including many artworks, an Indigenous flag displayed at the entrance of every campus, an Indigenous library, Indigenous student lounges and two Indigenous gardens. Unfortunately, we found that the sites are unevenly distributed; students from some faculties do not have the opportunity to engage compared to students in other faculties due to the lack of sites in their classrooms and libraries. In addition, many existing representations need more explanation and signage.</w:t>
      </w:r>
    </w:p>
    <w:p w14:paraId="2DF6972C" w14:textId="77777777" w:rsidR="0048524B" w:rsidRDefault="0048524B" w:rsidP="00AC7DBF">
      <w:pPr>
        <w:rPr>
          <w:noProof/>
        </w:rPr>
      </w:pPr>
      <w:r>
        <w:rPr>
          <w:noProof/>
        </w:rPr>
        <w:t>Our survey of students found that they do not engage with existing sites of Indigenous culture, typically due to lack of knowledge of the sites, or being aware of them but not recognising them as Indigenous cultural sites. Yet, most students reported being interested in learning more about Indigenous cultures.</w:t>
      </w:r>
    </w:p>
    <w:p w14:paraId="68124C86" w14:textId="77777777" w:rsidR="0048524B" w:rsidRDefault="0048524B">
      <w:r>
        <w:rPr>
          <w:noProof/>
        </w:rPr>
        <w:lastRenderedPageBreak/>
        <w:t>We conclude that Monash needs more physical representations of Aboriginal culture – and more varied examples of representations, which may help Indigenous students feel respected, safe and acknowledged on their campus, and hence will help reconcile Australia.</w:t>
      </w:r>
    </w:p>
    <w:p w14:paraId="210E8CD8" w14:textId="77777777" w:rsidR="0048524B" w:rsidRDefault="0048524B"/>
    <w:p w14:paraId="463DFDFB" w14:textId="033A08A5" w:rsidR="0048524B" w:rsidRDefault="0048524B">
      <w:r w:rsidRPr="002E1C1E">
        <w:rPr>
          <w:b/>
          <w:noProof/>
        </w:rPr>
        <w:t>Madeleine</w:t>
      </w:r>
      <w:r w:rsidRPr="008357DE">
        <w:rPr>
          <w:b/>
        </w:rPr>
        <w:t xml:space="preserve"> </w:t>
      </w:r>
      <w:r w:rsidRPr="002E1C1E">
        <w:rPr>
          <w:b/>
          <w:noProof/>
        </w:rPr>
        <w:t>Symons</w:t>
      </w:r>
      <w:r w:rsidRPr="008357DE">
        <w:rPr>
          <w:b/>
        </w:rPr>
        <w:t xml:space="preserve"> </w:t>
      </w:r>
      <w:r>
        <w:rPr>
          <w:b/>
        </w:rPr>
        <w:t xml:space="preserve"> </w:t>
      </w:r>
      <w:r w:rsidRPr="008357DE">
        <w:t>(</w:t>
      </w:r>
      <w:r>
        <w:rPr>
          <w:noProof/>
        </w:rPr>
        <w:t>Monash University Australia</w:t>
      </w:r>
      <w:r w:rsidR="006952F8">
        <w:t>)</w:t>
      </w:r>
    </w:p>
    <w:p w14:paraId="534552E9" w14:textId="77777777" w:rsidR="0048524B" w:rsidRDefault="0048524B">
      <w:pPr>
        <w:rPr>
          <w:i/>
        </w:rPr>
      </w:pPr>
      <w:r w:rsidRPr="002E1C1E">
        <w:rPr>
          <w:i/>
          <w:noProof/>
        </w:rPr>
        <w:t>Repairing Together: Promoting sustainable relationships between objects and people</w:t>
      </w:r>
    </w:p>
    <w:p w14:paraId="258A8E7C" w14:textId="77777777" w:rsidR="0048524B" w:rsidRDefault="0048524B" w:rsidP="00AC7DBF">
      <w:pPr>
        <w:rPr>
          <w:noProof/>
        </w:rPr>
      </w:pPr>
      <w:r>
        <w:rPr>
          <w:noProof/>
        </w:rPr>
        <w:t>With the rise of consumption, maintenance and repair practices have declined. Throwaway culture has inhibited our creativity, influencing the reactionary ‘Maker Movement’: the rise of independent tinkerers and inventors, exemplifying an overall tendency towards the return to craft and manual processes. Although repair practices are diminishing in mainstream parts of society, recently large and small-scale initiatives aimed at re-introducing repair culture have been established. This project raises awareness and educates the community about basic maintenance and repair skills, while also exposing the inherently creative nature of these tasks.</w:t>
      </w:r>
    </w:p>
    <w:p w14:paraId="4F88FCB8" w14:textId="77777777" w:rsidR="0048524B" w:rsidRDefault="0048524B" w:rsidP="00AC7DBF">
      <w:pPr>
        <w:rPr>
          <w:noProof/>
        </w:rPr>
      </w:pPr>
      <w:r>
        <w:rPr>
          <w:noProof/>
        </w:rPr>
        <w:t>The research employs ethnography, participant observation and interviews conducted at a space that is designated for repairing creatively through collaboration, the Melbourne Repair Cafe. The collected narratives offer insight into why people chose to repair and whether the value we place on our possessions can be increased by regular maintenance and repair practices.</w:t>
      </w:r>
    </w:p>
    <w:p w14:paraId="5553F83B" w14:textId="77777777" w:rsidR="0048524B" w:rsidRDefault="0048524B" w:rsidP="00AC7DBF">
      <w:pPr>
        <w:rPr>
          <w:noProof/>
        </w:rPr>
      </w:pPr>
      <w:r>
        <w:rPr>
          <w:noProof/>
        </w:rPr>
        <w:t>These personal experiences are used to promote repair culture at a community level via the production of a publication illustrating the stories of participants and their objects at the Repair Cafe.</w:t>
      </w:r>
    </w:p>
    <w:p w14:paraId="1166E406" w14:textId="77777777" w:rsidR="0048524B" w:rsidRDefault="0048524B" w:rsidP="00AC7DBF">
      <w:pPr>
        <w:rPr>
          <w:noProof/>
        </w:rPr>
      </w:pPr>
      <w:r>
        <w:rPr>
          <w:noProof/>
        </w:rPr>
        <w:t>While focusing upon a single small-scale community repair initiative, this technique has the potential to be replicated in other locations and on larger scales. The research proposes that increased awareness of everyday maintenance and participation in repair culture at a local level helps to improve a sustainable relationship between people and their domestic objects.</w:t>
      </w:r>
    </w:p>
    <w:p w14:paraId="334685EF" w14:textId="77777777" w:rsidR="0048524B" w:rsidRDefault="0048524B">
      <w:r>
        <w:rPr>
          <w:noProof/>
        </w:rPr>
        <w:t>Keywords: Sustainability, repair culture, design</w:t>
      </w:r>
    </w:p>
    <w:p w14:paraId="338CEDCD" w14:textId="77777777" w:rsidR="0048524B" w:rsidRDefault="0048524B"/>
    <w:p w14:paraId="408BB25B" w14:textId="5FAC0C6A" w:rsidR="0048524B" w:rsidRDefault="0048524B">
      <w:r w:rsidRPr="002E1C1E">
        <w:rPr>
          <w:b/>
          <w:noProof/>
        </w:rPr>
        <w:t>Jing Hui</w:t>
      </w:r>
      <w:r w:rsidRPr="008357DE">
        <w:rPr>
          <w:b/>
        </w:rPr>
        <w:t xml:space="preserve"> </w:t>
      </w:r>
      <w:r w:rsidRPr="002E1C1E">
        <w:rPr>
          <w:b/>
          <w:noProof/>
        </w:rPr>
        <w:t>Law</w:t>
      </w:r>
      <w:r w:rsidRPr="008357DE">
        <w:rPr>
          <w:b/>
        </w:rPr>
        <w:t xml:space="preserve"> </w:t>
      </w:r>
      <w:r>
        <w:rPr>
          <w:b/>
        </w:rPr>
        <w:t xml:space="preserve"> </w:t>
      </w:r>
      <w:r w:rsidRPr="008357DE">
        <w:t>(</w:t>
      </w:r>
      <w:r>
        <w:rPr>
          <w:noProof/>
        </w:rPr>
        <w:t>Monash University Malaysia</w:t>
      </w:r>
      <w:r w:rsidR="006952F8">
        <w:t>)</w:t>
      </w:r>
    </w:p>
    <w:p w14:paraId="4A462194" w14:textId="77777777" w:rsidR="0048524B" w:rsidRDefault="0048524B">
      <w:pPr>
        <w:rPr>
          <w:i/>
        </w:rPr>
      </w:pPr>
      <w:r w:rsidRPr="002E1C1E">
        <w:rPr>
          <w:i/>
          <w:noProof/>
        </w:rPr>
        <w:t>The Therapeutic Effects of Qigong on the Mental Health of Cancer Patients</w:t>
      </w:r>
    </w:p>
    <w:p w14:paraId="7F830068" w14:textId="77777777" w:rsidR="0048524B" w:rsidRDefault="0048524B" w:rsidP="00AC7DBF">
      <w:pPr>
        <w:rPr>
          <w:noProof/>
        </w:rPr>
      </w:pPr>
      <w:r>
        <w:rPr>
          <w:noProof/>
        </w:rPr>
        <w:t>Qigong is an ancient form of Chinese healing exercise that incorporates slow rhythmic movements, body posture coordination, breathing regulation and meditation. Multiple studies have validated its benefits as a supplementary therapy to mainstream Western treatments of chronic diseases, including cancer. Yet these encouraging observations on patients’ psychological and physical health have largely been dismissed as pseudoscience in medical and scientific communities; partly because the holistic approaches in Qigong cannot be quantified or directly measured, but also because of expectancy effects in which participants undergo a form of therapy with the anticipation of getting positive outcomes from it, leading them to (sometimes unknowingly) engage in health-promoting behaviours that will maximise this outcome.</w:t>
      </w:r>
    </w:p>
    <w:p w14:paraId="5FB38739" w14:textId="77777777" w:rsidR="0048524B" w:rsidRDefault="0048524B" w:rsidP="00AC7DBF">
      <w:pPr>
        <w:rPr>
          <w:noProof/>
        </w:rPr>
      </w:pPr>
      <w:r>
        <w:rPr>
          <w:noProof/>
        </w:rPr>
        <w:t xml:space="preserve">This research aims to evaluate the effectiveness of Qigong in promoting cancer patients’ psychological wellbeing by comparing it to support interventions that involve similar positive expectations and active interactions. It will employ both qualitative and quantitative approaches, using questionnaires and interviews to examine the psychological health of cancer patients in </w:t>
      </w:r>
      <w:r>
        <w:rPr>
          <w:noProof/>
        </w:rPr>
        <w:lastRenderedPageBreak/>
        <w:t>Malaysia who are practising Qigong under hospital supervision compared to the health of cancer patients undergoing mindfulness and meditating workshops that are also aimed at improving their mental and emotional states.</w:t>
      </w:r>
    </w:p>
    <w:p w14:paraId="05576FDA" w14:textId="77777777" w:rsidR="0048524B" w:rsidRDefault="0048524B">
      <w:r>
        <w:rPr>
          <w:noProof/>
        </w:rPr>
        <w:t>It is hypothesised that Qigong will have greater positive outcomes on the mental health of cancer patients. This will, in turn, play a significant role in improving their medical condition. Consequently, results are also expected to highlight the potential of Qigong in the treatment of chronic diseases, as well as its practical implications in the psychiatric field.</w:t>
      </w:r>
    </w:p>
    <w:p w14:paraId="066A9F05" w14:textId="77777777" w:rsidR="0048524B" w:rsidRDefault="0048524B"/>
    <w:p w14:paraId="4F809EB6" w14:textId="77777777" w:rsidR="006952F8" w:rsidRDefault="006952F8">
      <w:pPr>
        <w:rPr>
          <w:b/>
          <w:noProof/>
        </w:rPr>
      </w:pPr>
      <w:r>
        <w:rPr>
          <w:b/>
          <w:noProof/>
        </w:rPr>
        <w:br w:type="page"/>
      </w:r>
    </w:p>
    <w:p w14:paraId="2F825F5E" w14:textId="2E525C52" w:rsidR="006952F8" w:rsidRDefault="006952F8" w:rsidP="006952F8">
      <w:pPr>
        <w:pStyle w:val="Heading1"/>
      </w:pPr>
      <w:r>
        <w:lastRenderedPageBreak/>
        <w:t xml:space="preserve">Panel 16D: </w:t>
      </w:r>
      <w:r w:rsidRPr="006952F8">
        <w:t>Intelligent Systems, Machines and Markets</w:t>
      </w:r>
    </w:p>
    <w:p w14:paraId="28AC70D6" w14:textId="77777777" w:rsidR="006952F8" w:rsidRPr="006952F8" w:rsidRDefault="006952F8" w:rsidP="006952F8"/>
    <w:p w14:paraId="4363255C" w14:textId="6E6E2E38" w:rsidR="0048524B" w:rsidRDefault="0048524B">
      <w:r w:rsidRPr="002E1C1E">
        <w:rPr>
          <w:b/>
          <w:noProof/>
        </w:rPr>
        <w:t>Lee Yi Wei</w:t>
      </w:r>
      <w:r w:rsidRPr="008357DE">
        <w:rPr>
          <w:b/>
        </w:rPr>
        <w:t xml:space="preserve">  </w:t>
      </w:r>
      <w:r>
        <w:rPr>
          <w:b/>
        </w:rPr>
        <w:t xml:space="preserve"> </w:t>
      </w:r>
      <w:r w:rsidRPr="008357DE">
        <w:t>(</w:t>
      </w:r>
      <w:r>
        <w:rPr>
          <w:noProof/>
        </w:rPr>
        <w:t>NTU</w:t>
      </w:r>
      <w:r w:rsidR="006952F8">
        <w:t>)</w:t>
      </w:r>
    </w:p>
    <w:p w14:paraId="4D9D0A25" w14:textId="77777777" w:rsidR="0048524B" w:rsidRDefault="0048524B">
      <w:pPr>
        <w:rPr>
          <w:i/>
        </w:rPr>
      </w:pPr>
      <w:r w:rsidRPr="002E1C1E">
        <w:rPr>
          <w:i/>
          <w:noProof/>
        </w:rPr>
        <w:t>3D Printing of Smart Structures for Soft Robotic Applications</w:t>
      </w:r>
    </w:p>
    <w:p w14:paraId="1C9B1179" w14:textId="77777777" w:rsidR="0048524B" w:rsidRDefault="0048524B">
      <w:r>
        <w:rPr>
          <w:noProof/>
        </w:rPr>
        <w:t>This study aims to create smart structures for soft robotics applications using a multi-material 3D printing method. Soft robotics are robots that can deform elastically and continuously to perform various tasks. A fibre-reinforced soft-pneumatic actuator is a matrix of elastomer that is interwoven with inextensible fibre that forces the actuator to expand in certain directions. In this project, the fibre was printed via PolyJet using rigid material, Vero White, in a helical pattern around the elastomer that is printed using Agilus Black. This study investigated the elongation and the twisting angles of these actuators when subjected to varying pressures and it also analysed the mechanical properties of the 3D printed actuator.</w:t>
      </w:r>
    </w:p>
    <w:p w14:paraId="03FA153E" w14:textId="77777777" w:rsidR="0048524B" w:rsidRDefault="0048524B"/>
    <w:p w14:paraId="2C0DAD89" w14:textId="7B6B534C" w:rsidR="0048524B" w:rsidRDefault="0048524B">
      <w:r w:rsidRPr="002E1C1E">
        <w:rPr>
          <w:b/>
          <w:noProof/>
        </w:rPr>
        <w:t>Nicola</w:t>
      </w:r>
      <w:r w:rsidRPr="008357DE">
        <w:rPr>
          <w:b/>
        </w:rPr>
        <w:t xml:space="preserve"> </w:t>
      </w:r>
      <w:r w:rsidRPr="002E1C1E">
        <w:rPr>
          <w:b/>
          <w:noProof/>
        </w:rPr>
        <w:t>Branchini</w:t>
      </w:r>
      <w:r w:rsidRPr="008357DE">
        <w:rPr>
          <w:b/>
        </w:rPr>
        <w:t xml:space="preserve"> </w:t>
      </w:r>
      <w:r>
        <w:rPr>
          <w:b/>
        </w:rPr>
        <w:t xml:space="preserve"> </w:t>
      </w:r>
      <w:r w:rsidRPr="008357DE">
        <w:t>(</w:t>
      </w:r>
      <w:r>
        <w:rPr>
          <w:noProof/>
        </w:rPr>
        <w:t>University of Warwick</w:t>
      </w:r>
      <w:r w:rsidR="006952F8">
        <w:t>)</w:t>
      </w:r>
    </w:p>
    <w:p w14:paraId="23C73B96" w14:textId="77777777" w:rsidR="0048524B" w:rsidRDefault="0048524B">
      <w:pPr>
        <w:rPr>
          <w:i/>
        </w:rPr>
      </w:pPr>
      <w:r w:rsidRPr="002E1C1E">
        <w:rPr>
          <w:i/>
          <w:noProof/>
        </w:rPr>
        <w:t>Improving Decision-Making Artificial Intelligence Systems</w:t>
      </w:r>
    </w:p>
    <w:p w14:paraId="2D45A2AA" w14:textId="77777777" w:rsidR="0048524B" w:rsidRDefault="0048524B" w:rsidP="00AC7DBF">
      <w:pPr>
        <w:rPr>
          <w:noProof/>
        </w:rPr>
      </w:pPr>
      <w:r>
        <w:rPr>
          <w:noProof/>
        </w:rPr>
        <w:t>Abstract pattern recognition is one of the marvels of the human mind. In pursuit of general intelligence, an agent should be able to mimic this ability by drawing links between high-level concepts and adapting solutions from one area to crack another. Researchers at Google DeepMind recently managed to create a program, AlphaZero (Silver et al., 2018), able to beat any previous AI program at the Chinese game Go, and fully generalisable to any other discrete game with perfect information (i.e. each player, when making any decision, is perfectly informed of all the events that have previously occurred), for example Chess and Shogu. Because these algorithms are general and work from first principles, without aid of human expertise, they show promise for automating the programming of machines in many other contexts, including those where it would be impractical to program them by hand. Indeed, as these algorithms are based on what is referred to as reinforcement learning, these practices have already been used in many real-world applications, including self-driving cars (Chen et al., 2015), and even autonomous helicopters (Y. Ng. Andrew et al., 2006).</w:t>
      </w:r>
    </w:p>
    <w:p w14:paraId="637E1DEF" w14:textId="77777777" w:rsidR="0048524B" w:rsidRDefault="0048524B">
      <w:r>
        <w:rPr>
          <w:noProof/>
        </w:rPr>
        <w:t>The dominating technique that guides the decision making of these gameplay agents is Monte Carlo Tree Search (MCTS), a novel approach that has been found to be extremely effective in some games (like Go), but harder to optimise above human performance in others (like Chess). Ramanujan et al. 2010 showed that this may be caused from certain ‘trap states’ generated during Chess games, so the goal of this project is to try to understand better the reasons for MCTS not yet being completely general, hence identify its weaknesses and potentially address possible solutions. Specifically, we will study in-depth the behaviour of MCTS as implemented by AlphaZero, understand how it can be applied to other games and whether it solves the weaknesses of standard MCTS by implementing a simpler model that resembles it, and possibly testing it on different games. A better understanding of MCTS, as also David Silver (DeepMind) pointed out, is a step ahead towards more general-purpose artificial intelligence systems.</w:t>
      </w:r>
    </w:p>
    <w:p w14:paraId="784F5348" w14:textId="77777777" w:rsidR="0048524B" w:rsidRDefault="0048524B"/>
    <w:p w14:paraId="655DEA16" w14:textId="77777777" w:rsidR="006952F8" w:rsidRDefault="006952F8">
      <w:pPr>
        <w:rPr>
          <w:b/>
          <w:noProof/>
        </w:rPr>
      </w:pPr>
    </w:p>
    <w:p w14:paraId="163ADBDB" w14:textId="709A2A83" w:rsidR="0048524B" w:rsidRDefault="0048524B">
      <w:r w:rsidRPr="002E1C1E">
        <w:rPr>
          <w:b/>
          <w:noProof/>
        </w:rPr>
        <w:lastRenderedPageBreak/>
        <w:t>Christoffer</w:t>
      </w:r>
      <w:r w:rsidRPr="008357DE">
        <w:rPr>
          <w:b/>
        </w:rPr>
        <w:t xml:space="preserve"> </w:t>
      </w:r>
      <w:r w:rsidRPr="002E1C1E">
        <w:rPr>
          <w:b/>
          <w:noProof/>
        </w:rPr>
        <w:t>Dausgaard</w:t>
      </w:r>
      <w:r w:rsidRPr="008357DE">
        <w:rPr>
          <w:b/>
        </w:rPr>
        <w:t xml:space="preserve"> </w:t>
      </w:r>
      <w:r>
        <w:rPr>
          <w:b/>
        </w:rPr>
        <w:t xml:space="preserve"> </w:t>
      </w:r>
      <w:r w:rsidRPr="008357DE">
        <w:t>(</w:t>
      </w:r>
      <w:r>
        <w:rPr>
          <w:noProof/>
        </w:rPr>
        <w:t>University of Warwick</w:t>
      </w:r>
      <w:r w:rsidR="006952F8">
        <w:t>)</w:t>
      </w:r>
    </w:p>
    <w:p w14:paraId="6B112D35" w14:textId="77777777" w:rsidR="0048524B" w:rsidRDefault="0048524B">
      <w:pPr>
        <w:rPr>
          <w:i/>
        </w:rPr>
      </w:pPr>
      <w:r w:rsidRPr="002E1C1E">
        <w:rPr>
          <w:i/>
          <w:noProof/>
        </w:rPr>
        <w:t>The Silent Minorities: New analytical and comparative perspectives on electoral underrepresentation</w:t>
      </w:r>
    </w:p>
    <w:p w14:paraId="0D00437E" w14:textId="77777777" w:rsidR="0048524B" w:rsidRDefault="0048524B" w:rsidP="00AC7DBF">
      <w:pPr>
        <w:rPr>
          <w:noProof/>
        </w:rPr>
      </w:pPr>
      <w:r>
        <w:rPr>
          <w:noProof/>
        </w:rPr>
        <w:t>Most arguments for majority rule implicitly rest on the assumption that every citizen gets to be in the majority some of the time, so that on the whole, everyone will agree with some electoral outcomes. If some part of the population were to be persistently in the minority in every election, the claim that democracy represents all citizens equally would ring hollow. While some theorists have acknowledged that such electoral minorities could exist and thus endanger democratic legitimacy, they are generally deemed too unlikely to be a real threat.</w:t>
      </w:r>
    </w:p>
    <w:p w14:paraId="5E29E85A" w14:textId="77777777" w:rsidR="0048524B" w:rsidRDefault="0048524B" w:rsidP="00AC7DBF">
      <w:pPr>
        <w:rPr>
          <w:noProof/>
        </w:rPr>
      </w:pPr>
      <w:r>
        <w:rPr>
          <w:noProof/>
        </w:rPr>
        <w:t>However, this assumption has not yet been tested empirically. Furthermore, the existing literature only considers the extreme case of absolute electoral minorities (who disagree with every electoral outcome), ignoring the far more likely and yet problematic cases of people who get their way rarely or on trivial issues only.</w:t>
      </w:r>
    </w:p>
    <w:p w14:paraId="08C3ABA7" w14:textId="77777777" w:rsidR="0048524B" w:rsidRDefault="0048524B">
      <w:r>
        <w:rPr>
          <w:noProof/>
        </w:rPr>
        <w:t>As a response to these shortfalls of the existing work on the topic, this project aims to fill the gap. Firstly, it will attempt to expand the definition of electoral minorities beyond absolute ones, and assess how problematic they would be for democratic legitimacy. Secondly, it will empirically examine the extent to which such minorities do exist in the UK by comparing voting intentions and policy interests of the electorate (using data from the British Election Study, the British Household Panel Survey and the British Social Attitude Survey) with actual electoral and policy outcomes. This would help to determine whether electoral minorities ought to be taken more seriously as a threat to democratic legitimacy.</w:t>
      </w:r>
    </w:p>
    <w:p w14:paraId="559CC8CF" w14:textId="77777777" w:rsidR="0048524B" w:rsidRDefault="0048524B"/>
    <w:p w14:paraId="7AD08E4E" w14:textId="608F32BB" w:rsidR="0048524B" w:rsidRDefault="0048524B">
      <w:r w:rsidRPr="002E1C1E">
        <w:rPr>
          <w:b/>
          <w:noProof/>
        </w:rPr>
        <w:t>Lukasz</w:t>
      </w:r>
      <w:r w:rsidRPr="008357DE">
        <w:rPr>
          <w:b/>
        </w:rPr>
        <w:t xml:space="preserve"> </w:t>
      </w:r>
      <w:r w:rsidRPr="002E1C1E">
        <w:rPr>
          <w:b/>
          <w:noProof/>
        </w:rPr>
        <w:t>Bartoszcze</w:t>
      </w:r>
      <w:r w:rsidRPr="008357DE">
        <w:rPr>
          <w:b/>
        </w:rPr>
        <w:t xml:space="preserve"> </w:t>
      </w:r>
      <w:r>
        <w:rPr>
          <w:b/>
        </w:rPr>
        <w:t xml:space="preserve"> </w:t>
      </w:r>
      <w:r w:rsidRPr="008357DE">
        <w:t>(</w:t>
      </w:r>
      <w:r>
        <w:rPr>
          <w:noProof/>
        </w:rPr>
        <w:t>University of Warwick</w:t>
      </w:r>
      <w:r w:rsidR="006952F8">
        <w:t>)</w:t>
      </w:r>
    </w:p>
    <w:p w14:paraId="2DF02FC3" w14:textId="77777777" w:rsidR="0048524B" w:rsidRDefault="0048524B">
      <w:pPr>
        <w:rPr>
          <w:i/>
        </w:rPr>
      </w:pPr>
      <w:r w:rsidRPr="002E1C1E">
        <w:rPr>
          <w:i/>
          <w:noProof/>
        </w:rPr>
        <w:t>Rational Exuberance: Is the cryptocurrency market a speculative bubble or a viable currency for the world?</w:t>
      </w:r>
    </w:p>
    <w:p w14:paraId="72651531" w14:textId="77777777" w:rsidR="0048524B" w:rsidRDefault="0048524B">
      <w:r>
        <w:rPr>
          <w:noProof/>
        </w:rPr>
        <w:t>Throughout the first three-quarters of 2017, the price of Bitcoin increased ten-fold, attracting the attention of speculative investors, media and financial institutions. The research examines investor’s motivation in order to determine the nature of the cryptocurrency, using financial modelling to explain price changes. In STATA and R, quantitative research was used in order to create a panel data model explaining the variations in price. The relative weight of explanatory variables in the regression helps to establish a framework, alternative to the Capital Asset Pricing or mean-variance valuation. Comparison of these results to existing financial asset parameters helps to establish a quantifiable classification of cryptocurrencies as a financial asset. Aiming to fill an existing gap in the financial literature, the paper uses the speculative bubbles framework, especially Robert Shiller’s ‘Irrational Exuberance’ in order to compare and contrast it with the current cryptocurrency growth. A focus is placed on analysing the role of an independent, decentralised system in the current economy, emphasising the need for a better monetary system for the increasingly unequal and unstable world. Atypical changes in the price of this financial asset require a new, original framework to adequately analyse them. The conclusions of this investigation are important to hedge funds and financial institutions, deciding whether to invest in this asset, who can better predict the future growth of their investments. Moreover, it is crucial for governmental regulators, predicting the impact of their actions and aiming to increase their knowledge about social changes.</w:t>
      </w:r>
    </w:p>
    <w:p w14:paraId="2AEAF256" w14:textId="77777777" w:rsidR="0048524B" w:rsidRDefault="0048524B"/>
    <w:p w14:paraId="584BE4F2" w14:textId="7E66A370" w:rsidR="006952F8" w:rsidRDefault="006952F8" w:rsidP="006952F8">
      <w:pPr>
        <w:pStyle w:val="Heading1"/>
      </w:pPr>
      <w:r w:rsidRPr="006952F8">
        <w:lastRenderedPageBreak/>
        <w:t>Panel 16E: Student-centred C</w:t>
      </w:r>
      <w:r>
        <w:t>u</w:t>
      </w:r>
      <w:r w:rsidRPr="006952F8">
        <w:t>rriculum, Fee</w:t>
      </w:r>
      <w:r>
        <w:t>d</w:t>
      </w:r>
      <w:r w:rsidRPr="006952F8">
        <w:t>back and Research</w:t>
      </w:r>
    </w:p>
    <w:p w14:paraId="4298F447" w14:textId="77777777" w:rsidR="006952F8" w:rsidRPr="006952F8" w:rsidRDefault="006952F8" w:rsidP="006952F8"/>
    <w:p w14:paraId="125F98B3" w14:textId="37C7FBDA" w:rsidR="0048524B" w:rsidRDefault="0048524B">
      <w:r w:rsidRPr="002E1C1E">
        <w:rPr>
          <w:b/>
          <w:noProof/>
        </w:rPr>
        <w:t>Dominic Koh Jing Qun</w:t>
      </w:r>
      <w:r w:rsidRPr="008357DE">
        <w:rPr>
          <w:b/>
        </w:rPr>
        <w:t xml:space="preserve">  </w:t>
      </w:r>
      <w:r>
        <w:rPr>
          <w:b/>
        </w:rPr>
        <w:t xml:space="preserve"> </w:t>
      </w:r>
      <w:r w:rsidRPr="008357DE">
        <w:t>(</w:t>
      </w:r>
      <w:r>
        <w:rPr>
          <w:noProof/>
        </w:rPr>
        <w:t>NTU</w:t>
      </w:r>
      <w:r w:rsidR="00CB594E">
        <w:t>)</w:t>
      </w:r>
    </w:p>
    <w:p w14:paraId="7871BB21" w14:textId="77777777" w:rsidR="0048524B" w:rsidRDefault="0048524B">
      <w:pPr>
        <w:rPr>
          <w:i/>
        </w:rPr>
      </w:pPr>
      <w:r w:rsidRPr="002E1C1E">
        <w:rPr>
          <w:i/>
          <w:noProof/>
        </w:rPr>
        <w:t>Design of Biology STEM Tasks and Assessing its Potential for Classroom Use</w:t>
      </w:r>
    </w:p>
    <w:p w14:paraId="3E24D25B" w14:textId="77777777" w:rsidR="0048524B" w:rsidRDefault="0048524B">
      <w:r>
        <w:rPr>
          <w:noProof/>
        </w:rPr>
        <w:t>STEM (Science, Technology, Engineering and Mathematics) education is valuable as it promotes learning of twenty-first-century skills, particularly problem solving. Challenges faced by students in this century are predominantly STEM-related (Bybee, 2010). It is of importance to equip students with knowledge of STEM disciplines in order to enable them to navigate the twenty-first-century world. Despite efforts to introduce STEM programmes, integration of STEM in Singapore’s science curriculum remains limited. This research therefore intends to design STEM tasks that can be readily used in biology lessons. Two tasks were designed by adapting stages of the Sense-Making Model (Schwarz, Passmore and Reiser, 2017). Task 1 focused on diabetes and insulin delivery biotechnology tools. Task 2 focused on the digestive system and drug delivery design. Both tasks were trialled with two Secondary Three, Express stream classes, with 26 students (Task 1) and 11 students (Task 2). Both tasks were carried out within formal curriculum time. Mean scores from the pre- and post-assessments showed a decrease for both tasks, indicating no statistically significant gains in content knowledge from the tasks. However, analysis of student reports revealed students’ ability to justify decisions, craft criteria and to link theory to the problem, demonstrating an engineer’s strand of thought. Student presentations followed with critiquing by classmates and teacher-enabled instances of disciplinary learning to occur. Student interviews were conducted at the end of both tasks. Interview answers point to a favourable response towards and appreciation for such tasks, indicating potential for such tasks to be deployed in classrooms.</w:t>
      </w:r>
    </w:p>
    <w:p w14:paraId="25A6C028" w14:textId="77777777" w:rsidR="0048524B" w:rsidRDefault="0048524B"/>
    <w:p w14:paraId="092682DF" w14:textId="71FBEB30" w:rsidR="0048524B" w:rsidRDefault="0048524B">
      <w:r w:rsidRPr="002E1C1E">
        <w:rPr>
          <w:b/>
          <w:noProof/>
        </w:rPr>
        <w:t>Marcella</w:t>
      </w:r>
      <w:r w:rsidRPr="008357DE">
        <w:rPr>
          <w:b/>
        </w:rPr>
        <w:t xml:space="preserve"> </w:t>
      </w:r>
      <w:r w:rsidRPr="002E1C1E">
        <w:rPr>
          <w:b/>
          <w:noProof/>
        </w:rPr>
        <w:t>Manfredonia</w:t>
      </w:r>
      <w:r w:rsidRPr="008357DE">
        <w:rPr>
          <w:b/>
        </w:rPr>
        <w:t xml:space="preserve"> </w:t>
      </w:r>
      <w:r>
        <w:rPr>
          <w:b/>
        </w:rPr>
        <w:t xml:space="preserve"> </w:t>
      </w:r>
      <w:r w:rsidRPr="008357DE">
        <w:t>(</w:t>
      </w:r>
      <w:r>
        <w:rPr>
          <w:noProof/>
        </w:rPr>
        <w:t>University of Leeds</w:t>
      </w:r>
      <w:r w:rsidR="00CB594E">
        <w:t>)</w:t>
      </w:r>
    </w:p>
    <w:p w14:paraId="25774B4D" w14:textId="77777777" w:rsidR="0048524B" w:rsidRDefault="0048524B">
      <w:pPr>
        <w:rPr>
          <w:i/>
        </w:rPr>
      </w:pPr>
      <w:r w:rsidRPr="002E1C1E">
        <w:rPr>
          <w:i/>
          <w:noProof/>
        </w:rPr>
        <w:t>Does the Implementation of a ‘Plan, Do, Review’ Activity in a Reception Class Assist Children in Their Choices and Direction, and Ultimately Create More Self-Regulated Learners?</w:t>
      </w:r>
    </w:p>
    <w:p w14:paraId="6C909BD7" w14:textId="77777777" w:rsidR="0048524B" w:rsidRDefault="0048524B">
      <w:r>
        <w:rPr>
          <w:noProof/>
        </w:rPr>
        <w:t>This research looks at self-regulation in Early Years children. It looks at a child identified as having difficulties in self-regulating during free-flow activities and at two others with fewer difficulties. The research has attempted to implement an activity to assist those who have difficulties and enhance the independent learning skills of those who do not. Some examples of independent activity and learning are observed and known to be essential at the very start of the independent learning journey. The simple activity was designed and created based on present classroom provision. The activity enables pupils to make a pictorial plan of areas that they think they would like to access, to do this and then be encouraged to review their experience with as much support from the educator as required. Early Years classrooms are encouraged to promote independent learning and self-regulation. Twenty-one written observations are used alongside a ‘flit’ score to assess how many times participating children change their activity in a given time with a perception of their scale of involvement based on a scale designed in line with Laevers’ ‘level of involvement’ scale’ (Laevers, 1998; 2006; 2007). These are analysed alongside interview responses from staff in the setting. The study recognises that no self-regulatory strategy will work well for all. It also recognises where positive changes in response to the activity were observed and it seemed to aid choice and direction, although there was not enough evidence to state that this ultimately creates more self-regulated learners.</w:t>
      </w:r>
    </w:p>
    <w:p w14:paraId="55337A6E" w14:textId="4050DDCE" w:rsidR="0048524B" w:rsidRDefault="0048524B">
      <w:r w:rsidRPr="002E1C1E">
        <w:rPr>
          <w:b/>
          <w:noProof/>
        </w:rPr>
        <w:lastRenderedPageBreak/>
        <w:t>Fraser</w:t>
      </w:r>
      <w:r w:rsidRPr="008357DE">
        <w:rPr>
          <w:b/>
        </w:rPr>
        <w:t xml:space="preserve"> </w:t>
      </w:r>
      <w:r w:rsidRPr="002E1C1E">
        <w:rPr>
          <w:b/>
          <w:noProof/>
        </w:rPr>
        <w:t>Payne,</w:t>
      </w:r>
      <w:r w:rsidRPr="008357DE">
        <w:rPr>
          <w:b/>
        </w:rPr>
        <w:t xml:space="preserve"> </w:t>
      </w:r>
      <w:r w:rsidRPr="002E1C1E">
        <w:rPr>
          <w:b/>
          <w:noProof/>
        </w:rPr>
        <w:t>Shelley Fielden and Dr Helen Millott</w:t>
      </w:r>
      <w:r>
        <w:rPr>
          <w:b/>
        </w:rPr>
        <w:t xml:space="preserve"> </w:t>
      </w:r>
      <w:r w:rsidRPr="008357DE">
        <w:t>(</w:t>
      </w:r>
      <w:r>
        <w:rPr>
          <w:noProof/>
        </w:rPr>
        <w:t>University of Leeds</w:t>
      </w:r>
      <w:r w:rsidR="00CB594E">
        <w:t>)</w:t>
      </w:r>
    </w:p>
    <w:p w14:paraId="32ECA6AE" w14:textId="77777777" w:rsidR="0048524B" w:rsidRDefault="0048524B">
      <w:pPr>
        <w:rPr>
          <w:i/>
        </w:rPr>
      </w:pPr>
      <w:r w:rsidRPr="002E1C1E">
        <w:rPr>
          <w:i/>
          <w:noProof/>
        </w:rPr>
        <w:t>How Medical Students Understand, Value and Use the Feedback That They Receive on Their Consultation Skills in Primary Care Settings</w:t>
      </w:r>
    </w:p>
    <w:p w14:paraId="3BC32E17" w14:textId="77777777" w:rsidR="0048524B" w:rsidRDefault="0048524B" w:rsidP="00AC7DBF">
      <w:pPr>
        <w:rPr>
          <w:noProof/>
        </w:rPr>
      </w:pPr>
      <w:r>
        <w:rPr>
          <w:noProof/>
        </w:rPr>
        <w:t>Feedback on consultation skills is a key feature of medical education, although the quality of feedback and the extent to which medical students recognise and value such feedback is variable. This study explored how medical students understood, valued and used feedback during their clinical placements in primary care to develop their practice.</w:t>
      </w:r>
    </w:p>
    <w:p w14:paraId="49CBE9C5" w14:textId="77777777" w:rsidR="0048524B" w:rsidRDefault="0048524B" w:rsidP="00AC7DBF">
      <w:pPr>
        <w:rPr>
          <w:noProof/>
        </w:rPr>
      </w:pPr>
      <w:r>
        <w:rPr>
          <w:noProof/>
        </w:rPr>
        <w:t>An exploratory methodology and qualitative study design were used. Third-year medical students who had undertaken a six-week placement in primary care were recruited as participants (n=5). Participants undertook semi-structured interviews that were audio recorded and then transcribed verbatim. Thematic analysis was used to identify key themes from the interview data.</w:t>
      </w:r>
    </w:p>
    <w:p w14:paraId="2ED3F3FF" w14:textId="77777777" w:rsidR="0048524B" w:rsidRDefault="0048524B" w:rsidP="00AC7DBF">
      <w:pPr>
        <w:rPr>
          <w:noProof/>
        </w:rPr>
      </w:pPr>
      <w:r>
        <w:rPr>
          <w:noProof/>
        </w:rPr>
        <w:t>Participants demonstrated a developed understanding of feedback and felt the primary care setting fostered both increased opportunities for feedback and higher quality feedback. Feedback was provided by a range of sources, including general practitioners, nursing staff and informally from patients during placements and participants valued multi-source feedback. Participants identified that the clinical setting and placement duration allowed for greater rapport between students and placement supervisors; this in turn led to more matured relationships, which helped facilitate an open dialogue for feedback. Participants recognised that they had a role in ensuring feedback informed their practice and acknowledged that emotional responses to negative feedback disrupted this process.</w:t>
      </w:r>
    </w:p>
    <w:p w14:paraId="144457C7" w14:textId="77777777" w:rsidR="0048524B" w:rsidRDefault="0048524B">
      <w:r>
        <w:rPr>
          <w:noProof/>
        </w:rPr>
        <w:t>This study has implications for how curriculum developers prepare students to use feedback to inform their clinical practice, and for clinical educators in both primary and secondary care settings in how they facilitate opportunities for feedback during placements.</w:t>
      </w:r>
    </w:p>
    <w:p w14:paraId="1CE8347A" w14:textId="77777777" w:rsidR="0048524B" w:rsidRDefault="0048524B"/>
    <w:p w14:paraId="1331F53B" w14:textId="0EEAA568" w:rsidR="0048524B" w:rsidRDefault="0048524B">
      <w:r w:rsidRPr="002E1C1E">
        <w:rPr>
          <w:b/>
          <w:noProof/>
        </w:rPr>
        <w:t>Oscar</w:t>
      </w:r>
      <w:r w:rsidRPr="008357DE">
        <w:rPr>
          <w:b/>
        </w:rPr>
        <w:t xml:space="preserve"> </w:t>
      </w:r>
      <w:r w:rsidRPr="002E1C1E">
        <w:rPr>
          <w:b/>
          <w:noProof/>
        </w:rPr>
        <w:t>Hidalgo</w:t>
      </w:r>
      <w:r w:rsidRPr="008357DE">
        <w:rPr>
          <w:b/>
        </w:rPr>
        <w:t xml:space="preserve"> </w:t>
      </w:r>
      <w:r>
        <w:rPr>
          <w:b/>
        </w:rPr>
        <w:t xml:space="preserve"> </w:t>
      </w:r>
      <w:r w:rsidRPr="008357DE">
        <w:t>(</w:t>
      </w:r>
      <w:r>
        <w:rPr>
          <w:noProof/>
        </w:rPr>
        <w:t>University of Leeds</w:t>
      </w:r>
      <w:r w:rsidR="00CB594E">
        <w:t>)</w:t>
      </w:r>
    </w:p>
    <w:p w14:paraId="7E9981CA" w14:textId="77777777" w:rsidR="0048524B" w:rsidRDefault="0048524B">
      <w:pPr>
        <w:rPr>
          <w:i/>
        </w:rPr>
      </w:pPr>
      <w:r w:rsidRPr="002E1C1E">
        <w:rPr>
          <w:i/>
          <w:noProof/>
        </w:rPr>
        <w:t>Inverse Problems and International Competition</w:t>
      </w:r>
    </w:p>
    <w:p w14:paraId="62152CC6" w14:textId="77777777" w:rsidR="0048524B" w:rsidRDefault="0048524B">
      <w:r>
        <w:rPr>
          <w:noProof/>
        </w:rPr>
        <w:t>Frequently, researchers encounter problems in which the cause is unknown. Potentially, the research could not go further or present difficulties unless the cause is found. That is when Inverse Problems can take place. An Inverse Problem is the process of calculating the factors that produce an event or result from a series of observations. The field of Inverse Problems is a relatively new subject in science with just a little over one hundred years of study. However, it has demonstrated to be of great importance due to its wide range of applications in areas of optics, radars, machine learning, etc. Through Inverse Problems, scientists have found answers to questions such as ‘Can we hear the shape of a drum?’ The main challenge with these questions is that the equations that answer them cannot be solved directly. For this reason, this research will investigate how to find functions that can approximate the solutions in small intervals. The principal method to do so will be creating a function that consists of the union of pieces of other cubic polynomials. The polynomials, which are easier to handle, will be found through data already gathered in order to obtain a good approximation. In this way, it will be possible to find solutions to some of the inverse Sturm-Liouville problems, which are used to determine the properties of a material such as its conductivity and potential.</w:t>
      </w:r>
    </w:p>
    <w:p w14:paraId="616394A6" w14:textId="77777777" w:rsidR="0048524B" w:rsidRDefault="0048524B"/>
    <w:p w14:paraId="3F1B8F5F" w14:textId="5F7D51E1" w:rsidR="00CB594E" w:rsidRDefault="00CB594E" w:rsidP="00CB594E">
      <w:pPr>
        <w:pStyle w:val="Heading1"/>
      </w:pPr>
      <w:r>
        <w:lastRenderedPageBreak/>
        <w:t xml:space="preserve">Panel 17A: </w:t>
      </w:r>
      <w:r w:rsidRPr="00CB594E">
        <w:t>Alternative Systems and Methods</w:t>
      </w:r>
    </w:p>
    <w:p w14:paraId="65BB18F3" w14:textId="77777777" w:rsidR="00CB594E" w:rsidRPr="00CB594E" w:rsidRDefault="00CB594E" w:rsidP="00CB594E"/>
    <w:p w14:paraId="444A93A6" w14:textId="38D74C97" w:rsidR="0048524B" w:rsidRDefault="0048524B">
      <w:r w:rsidRPr="002E1C1E">
        <w:rPr>
          <w:b/>
          <w:noProof/>
        </w:rPr>
        <w:t>Chua Yi Lin Jolene</w:t>
      </w:r>
      <w:r w:rsidRPr="008357DE">
        <w:rPr>
          <w:b/>
        </w:rPr>
        <w:t xml:space="preserve">  </w:t>
      </w:r>
      <w:r>
        <w:rPr>
          <w:b/>
        </w:rPr>
        <w:t xml:space="preserve"> </w:t>
      </w:r>
      <w:r w:rsidRPr="008357DE">
        <w:t>(</w:t>
      </w:r>
      <w:r>
        <w:rPr>
          <w:noProof/>
        </w:rPr>
        <w:t>NTU</w:t>
      </w:r>
      <w:r w:rsidR="00CB594E">
        <w:t>)</w:t>
      </w:r>
    </w:p>
    <w:p w14:paraId="7C0F1DFE" w14:textId="77777777" w:rsidR="0048524B" w:rsidRDefault="0048524B">
      <w:pPr>
        <w:rPr>
          <w:i/>
        </w:rPr>
      </w:pPr>
      <w:r w:rsidRPr="002E1C1E">
        <w:rPr>
          <w:i/>
          <w:noProof/>
        </w:rPr>
        <w:t>Analysis and Improvements of Patient Cycle Time at NTU Medical Centre (ongoing project)</w:t>
      </w:r>
    </w:p>
    <w:p w14:paraId="6AFE9F8B" w14:textId="77777777" w:rsidR="0048524B" w:rsidRDefault="0048524B" w:rsidP="00AC7DBF">
      <w:pPr>
        <w:rPr>
          <w:noProof/>
        </w:rPr>
      </w:pPr>
      <w:r>
        <w:rPr>
          <w:noProof/>
        </w:rPr>
        <w:t>Prolonged patient cycle time is a problem that plagues many healthcare systems. Long cycle times can be due to improper allocation of resources or poor management of patient arrivals, both of which reflect inefficiencies within the system. This research aims to identify reasons behind the long cycle times and proposes solutions that will improve patient waiting times.</w:t>
      </w:r>
    </w:p>
    <w:p w14:paraId="453B8484" w14:textId="77777777" w:rsidR="0048524B" w:rsidRDefault="0048524B" w:rsidP="00AC7DBF">
      <w:pPr>
        <w:rPr>
          <w:noProof/>
        </w:rPr>
      </w:pPr>
      <w:r>
        <w:rPr>
          <w:noProof/>
        </w:rPr>
        <w:t>Preliminary observations were conducted at NTU Medical Centre over multiple days. Arrival and process times (registration, consultation, payment) were collected for the analysis. It was discovered that, on average, the value-added time is only 15–18 per cent of the total cycle time of 40–60 minutes. In this case, the prolonged patient cycle time can be attributed to long wait times as patients spend up to 80 per cent of the time waiting. It is also observed that the main bottleneck occurs during the consultation phase when patients wait to see the doctor.</w:t>
      </w:r>
    </w:p>
    <w:p w14:paraId="1757A0E2" w14:textId="77777777" w:rsidR="0048524B" w:rsidRDefault="0048524B">
      <w:r>
        <w:rPr>
          <w:noProof/>
        </w:rPr>
        <w:t>In order to study the clinic’s operation in greater detail, a discrete event simulation model was constructed using the collected data. The model was validated with on-site observations and experiments are being conducted to study the effect of various factors on patient cycle times. This includes managing the arrival to achieve smooth loading on the resources and better allocation of available resources.</w:t>
      </w:r>
    </w:p>
    <w:p w14:paraId="17C3CB48" w14:textId="77777777" w:rsidR="0048524B" w:rsidRDefault="0048524B"/>
    <w:p w14:paraId="4D5A4014" w14:textId="0413D36B" w:rsidR="0048524B" w:rsidRDefault="0048524B">
      <w:r w:rsidRPr="002E1C1E">
        <w:rPr>
          <w:b/>
          <w:noProof/>
        </w:rPr>
        <w:t>Too Hon Lin</w:t>
      </w:r>
      <w:r w:rsidRPr="008357DE">
        <w:rPr>
          <w:b/>
        </w:rPr>
        <w:t xml:space="preserve">  </w:t>
      </w:r>
      <w:r>
        <w:rPr>
          <w:b/>
        </w:rPr>
        <w:t xml:space="preserve"> </w:t>
      </w:r>
      <w:r w:rsidRPr="008357DE">
        <w:t>(</w:t>
      </w:r>
      <w:r>
        <w:rPr>
          <w:noProof/>
        </w:rPr>
        <w:t>NTU</w:t>
      </w:r>
      <w:r w:rsidR="00CB594E">
        <w:t>)</w:t>
      </w:r>
    </w:p>
    <w:p w14:paraId="1A591E94" w14:textId="77777777" w:rsidR="0048524B" w:rsidRDefault="0048524B">
      <w:pPr>
        <w:rPr>
          <w:i/>
        </w:rPr>
      </w:pPr>
      <w:r w:rsidRPr="002E1C1E">
        <w:rPr>
          <w:i/>
          <w:noProof/>
        </w:rPr>
        <w:t>Understanding Density Cube and Higher-Order Interference Theories</w:t>
      </w:r>
    </w:p>
    <w:p w14:paraId="67F6C90A" w14:textId="77777777" w:rsidR="0048524B" w:rsidRDefault="0048524B">
      <w:r>
        <w:rPr>
          <w:noProof/>
        </w:rPr>
        <w:t>Given certain initial conditions of a system, quantum mechanics can predict the measurement outcome with certain possibilities. Therefore, we aim to explore the possibility of interpreting quantum theory as a special case of generalised probabilistic theory. Density cube is a mathematical model that views quantum theory as a special case of a more general probabilistic theory. It can describe quantum behaviour in an accurate manner. This brings up the question: Can the model consistently extend the standard quantum formalism? The extension of quantum formalism will help to answer questions such as the non-existence of third order interference in quantum mechanics. Density cube has successfully shown that by allowing the existence of higher-order interference, it results in paradoxical consequences – it breaks limits imposed by quantum mechanics. However, this model encounters problems such as the non-ideal probability distribution – it allows transformation that maps a physical state to a state that gives complex-valued probability on measurement. Thus, this research aims to understand density cube and tries to solve the problems encountered by this model.</w:t>
      </w:r>
    </w:p>
    <w:p w14:paraId="018B6418" w14:textId="77777777" w:rsidR="0048524B" w:rsidRDefault="0048524B"/>
    <w:p w14:paraId="5B8BAFEE" w14:textId="795A5B10" w:rsidR="0048524B" w:rsidRDefault="0048524B">
      <w:r w:rsidRPr="002E1C1E">
        <w:rPr>
          <w:b/>
          <w:noProof/>
        </w:rPr>
        <w:t>Peter</w:t>
      </w:r>
      <w:r w:rsidRPr="008357DE">
        <w:rPr>
          <w:b/>
        </w:rPr>
        <w:t xml:space="preserve"> </w:t>
      </w:r>
      <w:r w:rsidRPr="002E1C1E">
        <w:rPr>
          <w:b/>
          <w:noProof/>
        </w:rPr>
        <w:t>Morris</w:t>
      </w:r>
      <w:r w:rsidRPr="008357DE">
        <w:rPr>
          <w:b/>
        </w:rPr>
        <w:t xml:space="preserve"> </w:t>
      </w:r>
      <w:r>
        <w:rPr>
          <w:b/>
        </w:rPr>
        <w:t xml:space="preserve"> </w:t>
      </w:r>
      <w:r w:rsidRPr="008357DE">
        <w:t>(</w:t>
      </w:r>
      <w:r>
        <w:rPr>
          <w:noProof/>
        </w:rPr>
        <w:t>University of Warwick</w:t>
      </w:r>
      <w:r w:rsidR="00CB594E">
        <w:t>)</w:t>
      </w:r>
    </w:p>
    <w:p w14:paraId="18E914AE" w14:textId="77777777" w:rsidR="0048524B" w:rsidRDefault="0048524B">
      <w:pPr>
        <w:rPr>
          <w:i/>
        </w:rPr>
      </w:pPr>
      <w:r w:rsidRPr="002E1C1E">
        <w:rPr>
          <w:i/>
          <w:noProof/>
        </w:rPr>
        <w:t>Alternative Proof-of-Work Procedures for Blockchain Technologies</w:t>
      </w:r>
    </w:p>
    <w:p w14:paraId="40CB26A3" w14:textId="77777777" w:rsidR="0048524B" w:rsidRDefault="0048524B" w:rsidP="00AC7DBF">
      <w:pPr>
        <w:rPr>
          <w:noProof/>
        </w:rPr>
      </w:pPr>
      <w:r>
        <w:rPr>
          <w:noProof/>
        </w:rPr>
        <w:t xml:space="preserve">Blockchains are public, distributed ledgers used to store records of transactions or other data. Research into blockchains has recently seen a huge rise in popularity due to the spread of </w:t>
      </w:r>
      <w:r>
        <w:rPr>
          <w:noProof/>
        </w:rPr>
        <w:lastRenderedPageBreak/>
        <w:t>cryptocurrencies such as Bitcoin and its alternatives. In order to facilitate consensus on transactions or other data, blockchains typically employ a mining procedure – a computationally expensive process that produces some proof that computational work has been performed. At the time of writing, generating proof-of-work for use in blockchains is responsible for 0.27 per cent of the world’s electricity consumption, and this figure can be expected to increase in the near future.</w:t>
      </w:r>
    </w:p>
    <w:p w14:paraId="4C96035F" w14:textId="77777777" w:rsidR="0048524B" w:rsidRDefault="0048524B" w:rsidP="00AC7DBF">
      <w:pPr>
        <w:rPr>
          <w:noProof/>
        </w:rPr>
      </w:pPr>
      <w:r>
        <w:rPr>
          <w:noProof/>
        </w:rPr>
        <w:t>Some cryptocurrencies use mining procedures that accomplish an additional task, such as prime number generation. In this project, we form a set of necessary properties of a blockchain mining algorithm, and subsequently implement a number of different appropriate algorithms as proof-of-work. We conclude that viable alternatives must be in the computational complexity class NP \ P, among other properties. Furthermore, we discuss the security implications of different algorithms and outline how they can be implemented and adapted for long-term use.</w:t>
      </w:r>
    </w:p>
    <w:p w14:paraId="320C2A48" w14:textId="77777777" w:rsidR="0048524B" w:rsidRDefault="0048524B">
      <w:r>
        <w:rPr>
          <w:noProof/>
        </w:rPr>
        <w:t>By analysing the problem of proof-of-work, we can not only assess the quality of existing methods but also produce a basis for the implementation of blockchains with greater utility. The properties found as a result of this project indicate that problems such as finding solutions to complex logical statements, analysing signals from neutron stars, and even analysing protein structures can be applied in blockchain mining at no detriment to the security or integrity of the blockchain.</w:t>
      </w:r>
    </w:p>
    <w:p w14:paraId="17BECCAC" w14:textId="77777777" w:rsidR="0048524B" w:rsidRDefault="0048524B"/>
    <w:p w14:paraId="0DBEA506" w14:textId="1CA1B857" w:rsidR="0048524B" w:rsidRDefault="0048524B">
      <w:r w:rsidRPr="002E1C1E">
        <w:rPr>
          <w:b/>
          <w:noProof/>
        </w:rPr>
        <w:t>Sachin</w:t>
      </w:r>
      <w:r w:rsidRPr="008357DE">
        <w:rPr>
          <w:b/>
        </w:rPr>
        <w:t xml:space="preserve"> </w:t>
      </w:r>
      <w:r w:rsidRPr="002E1C1E">
        <w:rPr>
          <w:b/>
          <w:noProof/>
        </w:rPr>
        <w:t>De Stone,</w:t>
      </w:r>
      <w:r w:rsidRPr="008357DE">
        <w:rPr>
          <w:b/>
        </w:rPr>
        <w:t xml:space="preserve"> </w:t>
      </w:r>
      <w:r w:rsidRPr="002E1C1E">
        <w:rPr>
          <w:b/>
          <w:noProof/>
        </w:rPr>
        <w:t>Paul O'Connor, Bridget Mcmanamon and Kate Kinnear</w:t>
      </w:r>
      <w:r>
        <w:rPr>
          <w:b/>
        </w:rPr>
        <w:t xml:space="preserve"> </w:t>
      </w:r>
      <w:r w:rsidRPr="008357DE">
        <w:t>(</w:t>
      </w:r>
      <w:r>
        <w:rPr>
          <w:noProof/>
        </w:rPr>
        <w:t>University of Warwick</w:t>
      </w:r>
      <w:r w:rsidR="00CB594E">
        <w:t>)</w:t>
      </w:r>
    </w:p>
    <w:p w14:paraId="65CD960B" w14:textId="77777777" w:rsidR="0048524B" w:rsidRDefault="0048524B">
      <w:pPr>
        <w:rPr>
          <w:i/>
        </w:rPr>
      </w:pPr>
      <w:r w:rsidRPr="002E1C1E">
        <w:rPr>
          <w:i/>
          <w:noProof/>
        </w:rPr>
        <w:t>Medicine for the Non-Scientists: Peer-to-peer teaching among medical students with a background in non-biological science</w:t>
      </w:r>
    </w:p>
    <w:p w14:paraId="1B020D0C" w14:textId="77777777" w:rsidR="0048524B" w:rsidRDefault="0048524B" w:rsidP="00AC7DBF">
      <w:pPr>
        <w:rPr>
          <w:noProof/>
        </w:rPr>
      </w:pPr>
      <w:r>
        <w:rPr>
          <w:noProof/>
        </w:rPr>
        <w:t>Graduate Entry Medicine (GEM) Programmes are accelerated undergraduate degrees that only accept students with a prior degree. Warwick Medical School is the largest UK GEM course, and requires no previous biomedical science knowledge.</w:t>
      </w:r>
    </w:p>
    <w:p w14:paraId="38BB5229" w14:textId="77777777" w:rsidR="0048524B" w:rsidRDefault="0048524B" w:rsidP="00AC7DBF">
      <w:pPr>
        <w:rPr>
          <w:noProof/>
        </w:rPr>
      </w:pPr>
      <w:r>
        <w:rPr>
          <w:noProof/>
        </w:rPr>
        <w:t>Near-peer teaching among medical students has been shown to be effective. We hypothesised that near-peer teaching for first years by second years, where both teachers and students have non-biological science (NBS) backgrounds would not only allow for greater understanding of course content but also provide a supportive community. Two teaching formats were piloted: (i) five pre-module sessions focused on upcoming course content, and (ii) weekly sessions covering topics from the preceding weeks’ lectures. Qualitative and quantitative feedback was collected using anonymous online questionnaires.</w:t>
      </w:r>
    </w:p>
    <w:p w14:paraId="054BCFB5" w14:textId="77777777" w:rsidR="0048524B" w:rsidRDefault="0048524B" w:rsidP="00AC7DBF">
      <w:pPr>
        <w:rPr>
          <w:noProof/>
        </w:rPr>
      </w:pPr>
      <w:r>
        <w:rPr>
          <w:noProof/>
        </w:rPr>
        <w:t>Results show 89 per cent of participants ‘agree’ or found it ‘essential’ to their learning that attendees were from similar backgrounds, with over half finding it ‘essential’ to feeling able to raise questions. Meanwhile, 100 per cent ‘agree’ or found pre-module teaching ‘essential’ to their understanding of formal content.</w:t>
      </w:r>
    </w:p>
    <w:p w14:paraId="486BF9F1" w14:textId="77777777" w:rsidR="0048524B" w:rsidRDefault="0048524B" w:rsidP="00AC7DBF">
      <w:pPr>
        <w:rPr>
          <w:noProof/>
        </w:rPr>
      </w:pPr>
      <w:r>
        <w:rPr>
          <w:noProof/>
        </w:rPr>
        <w:t>Qualitative feedback included: ‘Non-scientists teaching [has been] absolutely critical to my understanding of complicated topics this year, which were not explained during lectures at a level I could understand... [it] makes a real difference to be taught by people who understand what is and isn’t confusing for a humanities graduate.’</w:t>
      </w:r>
    </w:p>
    <w:p w14:paraId="71606C50" w14:textId="77777777" w:rsidR="0048524B" w:rsidRDefault="0048524B">
      <w:r>
        <w:rPr>
          <w:noProof/>
        </w:rPr>
        <w:t>Our research suggests near-peer teaching targeting NBS students is a viable and beneficial way of complementing official course teaching, and has the potential to support widening access to medicine to those with an NBS background.</w:t>
      </w:r>
    </w:p>
    <w:p w14:paraId="1B282A22" w14:textId="77777777" w:rsidR="0048524B" w:rsidRDefault="0048524B"/>
    <w:p w14:paraId="335FC24B" w14:textId="34064DBB" w:rsidR="000D6420" w:rsidRDefault="000D6420" w:rsidP="000D6420">
      <w:pPr>
        <w:pStyle w:val="Heading1"/>
      </w:pPr>
      <w:r w:rsidRPr="000D6420">
        <w:lastRenderedPageBreak/>
        <w:t>Panel 17C: Legal Systems, Business and Human Rights</w:t>
      </w:r>
    </w:p>
    <w:p w14:paraId="70E0D1F4" w14:textId="77777777" w:rsidR="000D6420" w:rsidRPr="000D6420" w:rsidRDefault="000D6420" w:rsidP="000D6420"/>
    <w:p w14:paraId="6EE51192" w14:textId="5F433187" w:rsidR="0048524B" w:rsidRDefault="0048524B">
      <w:r w:rsidRPr="002E1C1E">
        <w:rPr>
          <w:b/>
          <w:noProof/>
        </w:rPr>
        <w:t>Ceri-Ann</w:t>
      </w:r>
      <w:r w:rsidRPr="008357DE">
        <w:rPr>
          <w:b/>
        </w:rPr>
        <w:t xml:space="preserve"> </w:t>
      </w:r>
      <w:r w:rsidRPr="002E1C1E">
        <w:rPr>
          <w:b/>
          <w:noProof/>
        </w:rPr>
        <w:t>Snyman</w:t>
      </w:r>
      <w:r w:rsidRPr="008357DE">
        <w:rPr>
          <w:b/>
        </w:rPr>
        <w:t xml:space="preserve"> </w:t>
      </w:r>
      <w:r>
        <w:rPr>
          <w:b/>
        </w:rPr>
        <w:t xml:space="preserve"> </w:t>
      </w:r>
      <w:r w:rsidRPr="008357DE">
        <w:t>(</w:t>
      </w:r>
      <w:r>
        <w:rPr>
          <w:noProof/>
        </w:rPr>
        <w:t>Monash University South Africa</w:t>
      </w:r>
      <w:r w:rsidR="000D6420">
        <w:t>)</w:t>
      </w:r>
    </w:p>
    <w:p w14:paraId="64E00938" w14:textId="77777777" w:rsidR="0048524B" w:rsidRDefault="0048524B">
      <w:pPr>
        <w:rPr>
          <w:i/>
        </w:rPr>
      </w:pPr>
      <w:r w:rsidRPr="002E1C1E">
        <w:rPr>
          <w:i/>
          <w:noProof/>
        </w:rPr>
        <w:t>Exploring Implications of the Fourth Industrial Revolution for Managerial Roles in the ICT Industry</w:t>
      </w:r>
    </w:p>
    <w:p w14:paraId="01CE9ADD" w14:textId="77777777" w:rsidR="0048524B" w:rsidRDefault="0048524B">
      <w:r>
        <w:rPr>
          <w:noProof/>
        </w:rPr>
        <w:t>The world is changing as it enters into the fourth industrial revolution. It is vital for societies and organisations to be aware of this trend and the impact that it may have on the predicted future. The future roles of managers within this revolution or even if managers will still have a role remains unclear. Henry Mintzberg’s seminal work on managerial roles remains the most suited departure point to understand the new roles that managers will face in the uncertain times to come. Therefore, the aim of this study is to investigate the potential impact that the fourth industrial revolution might have on the existing managerial roles (Mintzberg, 1989). The study will explore perspectives regarding the various managerial roles and if they will remain unchanged, become redundant or evolve due to the impact of this revolution. The study consists of in-depth qualitative interviews of the insights, experiences and interpretations of both managers and experts regarding the fourth industrial revolution within the ICT industry. Using thematic analysis, the interpretations will be grounded in data from two selected case studies within the ICT industry. The findings will compare, contrast and align the perceptions of managers and experts to the well-established managerial roles. The study will contribute by increasing the understanding of the future managerial roles to ensure that organisational policies align with the findings and be developed and implemented. The study will further allow the identification of critical skills that managers will need to develop to ensure success in this revolution.</w:t>
      </w:r>
    </w:p>
    <w:p w14:paraId="6E17CAE0" w14:textId="77777777" w:rsidR="0048524B" w:rsidRDefault="0048524B"/>
    <w:p w14:paraId="21CEF53B" w14:textId="5735D476" w:rsidR="0048524B" w:rsidRDefault="0048524B">
      <w:r w:rsidRPr="002E1C1E">
        <w:rPr>
          <w:b/>
          <w:noProof/>
        </w:rPr>
        <w:t>Esther</w:t>
      </w:r>
      <w:r w:rsidRPr="008357DE">
        <w:rPr>
          <w:b/>
        </w:rPr>
        <w:t xml:space="preserve"> </w:t>
      </w:r>
      <w:r w:rsidRPr="002E1C1E">
        <w:rPr>
          <w:b/>
          <w:noProof/>
        </w:rPr>
        <w:t>Hernandez</w:t>
      </w:r>
      <w:r w:rsidRPr="008357DE">
        <w:rPr>
          <w:b/>
        </w:rPr>
        <w:t xml:space="preserve"> </w:t>
      </w:r>
      <w:r>
        <w:rPr>
          <w:b/>
        </w:rPr>
        <w:t xml:space="preserve"> </w:t>
      </w:r>
      <w:r w:rsidRPr="008357DE">
        <w:t>(</w:t>
      </w:r>
      <w:r>
        <w:rPr>
          <w:noProof/>
        </w:rPr>
        <w:t>University of Leeds</w:t>
      </w:r>
      <w:r w:rsidR="000D6420">
        <w:t>)</w:t>
      </w:r>
    </w:p>
    <w:p w14:paraId="1BA29A99" w14:textId="77777777" w:rsidR="0048524B" w:rsidRDefault="0048524B">
      <w:pPr>
        <w:rPr>
          <w:i/>
        </w:rPr>
      </w:pPr>
      <w:r w:rsidRPr="002E1C1E">
        <w:rPr>
          <w:i/>
          <w:noProof/>
        </w:rPr>
        <w:t>Criminal Victims: An analysis of Sino-Korean migration, gender and human rights violations, 1990 until the present day</w:t>
      </w:r>
    </w:p>
    <w:p w14:paraId="4811A1F8" w14:textId="77777777" w:rsidR="0048524B" w:rsidRDefault="0048524B" w:rsidP="00AC7DBF">
      <w:pPr>
        <w:rPr>
          <w:noProof/>
        </w:rPr>
      </w:pPr>
      <w:r>
        <w:rPr>
          <w:noProof/>
        </w:rPr>
        <w:t>As early as 1990, North Korea was targeted by an extensive human rights campaign, yet allegations of gender-based violence, some as recent as 2018, remain overlooked in favour of stories about nuclear weapons. This nation fascinated the West, but ordinary civilians were rarely invited to offer their opinion. Indeed, around 200,000 North Koreans are hidden in China; however, few have told their story, causing inaccuracies in our conception of this nation. Instead, our impression was constructed around political opinions.</w:t>
      </w:r>
    </w:p>
    <w:p w14:paraId="677F7E62" w14:textId="77777777" w:rsidR="0048524B" w:rsidRDefault="0048524B" w:rsidP="00AC7DBF">
      <w:pPr>
        <w:rPr>
          <w:noProof/>
        </w:rPr>
      </w:pPr>
      <w:r>
        <w:rPr>
          <w:noProof/>
        </w:rPr>
        <w:t>This research focuses on women in North Korea and China from 1990 until today and questions why they were at particular risk. It examines gender discrimination in North Korea, trafficking and refugee status in China in order to understand how to prevent further abuses. This research focuses on female experiences to increase their visibility and create a more accurate picture of everyday life in North Korea.</w:t>
      </w:r>
    </w:p>
    <w:p w14:paraId="212066E5" w14:textId="77777777" w:rsidR="0048524B" w:rsidRDefault="0048524B">
      <w:r>
        <w:rPr>
          <w:noProof/>
        </w:rPr>
        <w:t xml:space="preserve">The literature review of defector testimony and analysis of quantitative data indicated that sexism and gender-based violence were ingrained in North Korean society. Secondly, Chinese data revealed that legislation, such as condemning trafficked women as ‘illegal immigrants’, increased risks to refugees, despite their protected status internationally. This indicates that trafficking and gender inequality are significant problems for North Koreans, yet these problems were overshadowed by military concerns, thus normalising abuse against refugees. These findings demonstrate that refugee </w:t>
      </w:r>
      <w:r>
        <w:rPr>
          <w:noProof/>
        </w:rPr>
        <w:lastRenderedPageBreak/>
        <w:t>policy should prioritise vulnerable groups over international interests. This would increase the safety of vulnerable individuals and actually improve the lives of ordinary North Koreans.</w:t>
      </w:r>
    </w:p>
    <w:p w14:paraId="73182B3E" w14:textId="77777777" w:rsidR="0048524B" w:rsidRDefault="0048524B"/>
    <w:p w14:paraId="013FD161" w14:textId="5F061B22" w:rsidR="0048524B" w:rsidRDefault="0048524B">
      <w:r w:rsidRPr="002E1C1E">
        <w:rPr>
          <w:b/>
          <w:noProof/>
        </w:rPr>
        <w:t>Katerina</w:t>
      </w:r>
      <w:r w:rsidRPr="008357DE">
        <w:rPr>
          <w:b/>
        </w:rPr>
        <w:t xml:space="preserve"> </w:t>
      </w:r>
      <w:r w:rsidRPr="002E1C1E">
        <w:rPr>
          <w:b/>
          <w:noProof/>
        </w:rPr>
        <w:t>Mrhacova</w:t>
      </w:r>
      <w:r w:rsidRPr="008357DE">
        <w:rPr>
          <w:b/>
        </w:rPr>
        <w:t xml:space="preserve"> </w:t>
      </w:r>
      <w:r>
        <w:rPr>
          <w:b/>
        </w:rPr>
        <w:t xml:space="preserve"> </w:t>
      </w:r>
      <w:r w:rsidRPr="008357DE">
        <w:t>(</w:t>
      </w:r>
      <w:r>
        <w:rPr>
          <w:noProof/>
        </w:rPr>
        <w:t>University of Warwick</w:t>
      </w:r>
      <w:r w:rsidR="000D6420">
        <w:t>)</w:t>
      </w:r>
    </w:p>
    <w:p w14:paraId="0850206D" w14:textId="77777777" w:rsidR="0048524B" w:rsidRDefault="0048524B">
      <w:pPr>
        <w:rPr>
          <w:i/>
        </w:rPr>
      </w:pPr>
      <w:r w:rsidRPr="002E1C1E">
        <w:rPr>
          <w:i/>
          <w:noProof/>
        </w:rPr>
        <w:t>The Law on Data Protection in the UK in Comparison With Other Legal Systems and the Needs of Contemporary Society</w:t>
      </w:r>
    </w:p>
    <w:p w14:paraId="04F8B332" w14:textId="77777777" w:rsidR="0048524B" w:rsidRDefault="0048524B" w:rsidP="00AC7DBF">
      <w:pPr>
        <w:rPr>
          <w:noProof/>
        </w:rPr>
      </w:pPr>
      <w:r>
        <w:rPr>
          <w:noProof/>
        </w:rPr>
        <w:t>Privacy is a multi-faceted concept concerning control over personal information, human dignity, interpersonal relationships and freedom of conscience and expression. This research is concerned with the law on intermediary liability law and its sufficiency related to the recent technological developments. Data processing concerns all areas of our lives, from banking to social media, and is increasingly important to fulfil the role of the internet as a platform for democratic participation. The rights of individuals need to stay protected, balancing out the freedom of speech and the right to privacy and other fundamental rights.</w:t>
      </w:r>
    </w:p>
    <w:p w14:paraId="53FF299E" w14:textId="77777777" w:rsidR="0048524B" w:rsidRDefault="0048524B" w:rsidP="00AC7DBF">
      <w:pPr>
        <w:rPr>
          <w:noProof/>
        </w:rPr>
      </w:pPr>
      <w:r>
        <w:rPr>
          <w:noProof/>
        </w:rPr>
        <w:t>This research further deals with the current state of the EU law as well as its comparison to other legal systems – in particular, Germany’s approach. Critical analysis of the different systems is undertaken and they are compared in order to derive the ideal state of law and possible solution to the controversial intermediary liability law.</w:t>
      </w:r>
    </w:p>
    <w:p w14:paraId="7EEC672D" w14:textId="77777777" w:rsidR="0048524B" w:rsidRDefault="0048524B">
      <w:r>
        <w:rPr>
          <w:noProof/>
        </w:rPr>
        <w:t>The problem of the law can be illustrated on the present-day lack of clarity in the ‘notice-and-takedown’ procedure and application of the General Data Protection Regulation. This work ultimately hopes to provide an overview and deduce the best method of protection of fundamental rights in the online space, which would fulfil the needs of the modern society.</w:t>
      </w:r>
    </w:p>
    <w:p w14:paraId="4E3F2A86" w14:textId="77777777" w:rsidR="0048524B" w:rsidRDefault="0048524B"/>
    <w:p w14:paraId="684F3636" w14:textId="5F672DA4" w:rsidR="0048524B" w:rsidRDefault="0048524B">
      <w:r w:rsidRPr="002E1C1E">
        <w:rPr>
          <w:b/>
          <w:noProof/>
        </w:rPr>
        <w:t>Rebecca</w:t>
      </w:r>
      <w:r w:rsidRPr="008357DE">
        <w:rPr>
          <w:b/>
        </w:rPr>
        <w:t xml:space="preserve"> </w:t>
      </w:r>
      <w:r w:rsidRPr="002E1C1E">
        <w:rPr>
          <w:b/>
          <w:noProof/>
        </w:rPr>
        <w:t>Fitzjohn</w:t>
      </w:r>
      <w:r w:rsidRPr="008357DE">
        <w:rPr>
          <w:b/>
        </w:rPr>
        <w:t xml:space="preserve"> </w:t>
      </w:r>
      <w:r>
        <w:rPr>
          <w:b/>
        </w:rPr>
        <w:t xml:space="preserve"> </w:t>
      </w:r>
      <w:r w:rsidRPr="008357DE">
        <w:t>(</w:t>
      </w:r>
      <w:r>
        <w:rPr>
          <w:noProof/>
        </w:rPr>
        <w:t>University of Warwick</w:t>
      </w:r>
      <w:r w:rsidR="000D6420">
        <w:t>)</w:t>
      </w:r>
    </w:p>
    <w:p w14:paraId="41DFA629" w14:textId="77777777" w:rsidR="0048524B" w:rsidRDefault="0048524B">
      <w:pPr>
        <w:rPr>
          <w:i/>
        </w:rPr>
      </w:pPr>
      <w:r w:rsidRPr="002E1C1E">
        <w:rPr>
          <w:i/>
          <w:noProof/>
        </w:rPr>
        <w:t>Female Characters and Forensic Rhetoric in Early Modern Drama</w:t>
      </w:r>
    </w:p>
    <w:p w14:paraId="3BF645FE" w14:textId="77777777" w:rsidR="0048524B" w:rsidRDefault="0048524B">
      <w:r>
        <w:rPr>
          <w:noProof/>
        </w:rPr>
        <w:t>This paper investigates how and why early modern playwrights wrote legal scenes including female characters. Forensic rhetoric is defined as language used in courts of law; suitable or analogous to pleadings in court. Oration was considered a masculine skill; consequently, the language of female characters in courtroom scenes has been largely avoided in favour of a straightforward discussion of the gender of the character. Giving a female character a forensic oration opposes the exclusionary and misogynistic attitudes to women speaking in public spaces, which were prevalent in early modern England. This paper explores a variety of early modern plays, with particular attention given to The White Devil by John Webster (1612), The Merchant of Venice by William Shakespeare (1598), and All Is True (Henry VIII) by John Fletcher and William Shakespeare (1613). Playwrights were knowingly using and abusing the structure of a legal proceeding and the rhetoric associated with it to comment on women as litigants. Some scenes exemplify how women can and should be allowed to take part in the legal process. Others demonstrate how women are disadvantaged in court by attitudes towards masculinity and public spaces. The extent to which these performances are transgressive is lessened by the physical bodies of the actors because women were played by young men. However, it is easier to contain progressive ideas about women in the public realm within a dramatic tradition where the person performing the part is male, even if the character they are personating is female.</w:t>
      </w:r>
    </w:p>
    <w:p w14:paraId="71E7E59B" w14:textId="77777777" w:rsidR="0048524B" w:rsidRDefault="0048524B"/>
    <w:p w14:paraId="1BADBCA6" w14:textId="644D5419" w:rsidR="00066F65" w:rsidRDefault="00066F65" w:rsidP="00566255">
      <w:pPr>
        <w:pStyle w:val="Heading1"/>
      </w:pPr>
      <w:r>
        <w:lastRenderedPageBreak/>
        <w:t xml:space="preserve">Panel 17D: </w:t>
      </w:r>
      <w:r w:rsidR="00566255" w:rsidRPr="00566255">
        <w:t>Applying Models and Simulations</w:t>
      </w:r>
    </w:p>
    <w:p w14:paraId="05A03D4B" w14:textId="77777777" w:rsidR="00566255" w:rsidRPr="00566255" w:rsidRDefault="00566255" w:rsidP="00566255"/>
    <w:p w14:paraId="68605E52" w14:textId="3CCC2EF0" w:rsidR="0048524B" w:rsidRDefault="0048524B">
      <w:r w:rsidRPr="002E1C1E">
        <w:rPr>
          <w:b/>
          <w:noProof/>
        </w:rPr>
        <w:t>Clarise Ong Chia Yee</w:t>
      </w:r>
      <w:r w:rsidRPr="008357DE">
        <w:rPr>
          <w:b/>
        </w:rPr>
        <w:t xml:space="preserve">  </w:t>
      </w:r>
      <w:r>
        <w:rPr>
          <w:b/>
        </w:rPr>
        <w:t xml:space="preserve"> </w:t>
      </w:r>
      <w:r w:rsidRPr="008357DE">
        <w:t>(</w:t>
      </w:r>
      <w:r>
        <w:rPr>
          <w:noProof/>
        </w:rPr>
        <w:t>NTU</w:t>
      </w:r>
      <w:r w:rsidR="00566255">
        <w:t>)</w:t>
      </w:r>
    </w:p>
    <w:p w14:paraId="540F6919" w14:textId="77777777" w:rsidR="0048524B" w:rsidRDefault="0048524B">
      <w:pPr>
        <w:rPr>
          <w:i/>
        </w:rPr>
      </w:pPr>
      <w:r w:rsidRPr="002E1C1E">
        <w:rPr>
          <w:i/>
          <w:noProof/>
        </w:rPr>
        <w:t>How Do Financial Concerns Shape the Delivery and Take-Up of Genome-Based Medicine</w:t>
      </w:r>
    </w:p>
    <w:p w14:paraId="6E3FC0D7" w14:textId="77777777" w:rsidR="0048524B" w:rsidRDefault="0048524B">
      <w:r>
        <w:rPr>
          <w:noProof/>
        </w:rPr>
        <w:t>The recent advancement of genome-based medicine has rapidly altered Singapore’s healthcare system. Existing literature have mainly considered the financial barriers preventing patient access, paying relatively little attention to various social actors’ interpretations of treatment ‘cost’. Drawing on existing studies of genetic testing and genome-based medicine related spending, this review indicates that the state-subsidising of selected predictive genetic tests is based on projected healthcare expenditure savings as targeted surveillance for seemingly high-risk patients eliminates the cost of unnecessarily monitoring the general population. The implementation of genotyping for selected alleles prior to drug prescription has also been to minimise potential care costs associated with adverse drug reactions, notably in compulsory testing for the HLA-B*1502 allele prior to Carbamazepine prescription. The perception of ‘savings’, however, differs in patients, as patients base their decisions on factors such as if testing requires out-of-pocket funding or, for more financially conscious patients, whether spending money on testing is prudent when treatment course is unlikely to change; the singular dollar value thus serving as a poor indicator of patient compliance. Finally, patients’ assessment of ‘prospective costs’, namely concerns over disqualification from insurance coverage due to lack of legal protection if given unfavourable results, may overshadow genetic test subsidies or test price reduction. This project not only displays the multiplicity of genomic medicine’s financial components but also explores the related issues of data protection in order to raise patients’ confidence in such medical advancement.</w:t>
      </w:r>
    </w:p>
    <w:p w14:paraId="1ED5F35D" w14:textId="77777777" w:rsidR="0048524B" w:rsidRDefault="0048524B"/>
    <w:p w14:paraId="10E608FC" w14:textId="069D2EA6" w:rsidR="0048524B" w:rsidRDefault="0048524B">
      <w:r w:rsidRPr="002E1C1E">
        <w:rPr>
          <w:b/>
          <w:noProof/>
        </w:rPr>
        <w:t>Yeo Shu Hui</w:t>
      </w:r>
      <w:r w:rsidRPr="008357DE">
        <w:rPr>
          <w:b/>
        </w:rPr>
        <w:t xml:space="preserve">  </w:t>
      </w:r>
      <w:r>
        <w:rPr>
          <w:b/>
        </w:rPr>
        <w:t xml:space="preserve"> </w:t>
      </w:r>
      <w:r w:rsidRPr="008357DE">
        <w:t>(</w:t>
      </w:r>
      <w:r>
        <w:rPr>
          <w:noProof/>
        </w:rPr>
        <w:t>NTU</w:t>
      </w:r>
      <w:r w:rsidR="00566255">
        <w:t>)</w:t>
      </w:r>
    </w:p>
    <w:p w14:paraId="63F368FC" w14:textId="77777777" w:rsidR="0048524B" w:rsidRDefault="0048524B">
      <w:pPr>
        <w:rPr>
          <w:i/>
        </w:rPr>
      </w:pPr>
      <w:r w:rsidRPr="002E1C1E">
        <w:rPr>
          <w:i/>
          <w:noProof/>
        </w:rPr>
        <w:t>Effects of Defaunation Vary Across Tropical Forests</w:t>
      </w:r>
    </w:p>
    <w:p w14:paraId="0C0F89A8" w14:textId="77777777" w:rsidR="0048524B" w:rsidRDefault="0048524B">
      <w:r>
        <w:rPr>
          <w:noProof/>
        </w:rPr>
        <w:t>Most tropical forests experience hunting and some are severely depleted of large-bodied species – also known as defaunation. These changes to the wildlife composition can trigger cascading effects on the tree community due to lost plant–animal interactions. However, understanding of the cascading effects of land-use changes and hunting on the wildlife in tropical forests remains incomplete. Here, using seed removal experiments, we address that by investigating the temporal changes in the composition of terrestrial wildlife at two different protected forests in Southeast Asia. We found that (i) mean mammal visitation and fruit removal rate were significantly higher at Pasoh Forest Reserve (Pasoh) than at Lambir Hills National Park (Lambir), (ii) proportion of seed predators is greater than that of seed dispersers at both forests, but comparatively more drastic at Pasoh, and (iii) Order Rodentia and Scandentia are responsible for the bulk of the baits removed at Lambir and Pasoh respectively, where both Orders are seen to consuming the baits directly in the footages. The long-term effects of human activities on the large-bodied species suggest that the human activities may have altered the forest ecosystem, bringing about changes that tilt the balance of the forest ecosystem.</w:t>
      </w:r>
    </w:p>
    <w:p w14:paraId="4B209A0B" w14:textId="77777777" w:rsidR="0048524B" w:rsidRDefault="0048524B"/>
    <w:p w14:paraId="396DCCC4" w14:textId="77777777" w:rsidR="00566255" w:rsidRDefault="00566255">
      <w:pPr>
        <w:rPr>
          <w:b/>
          <w:noProof/>
        </w:rPr>
      </w:pPr>
      <w:r>
        <w:rPr>
          <w:b/>
          <w:noProof/>
        </w:rPr>
        <w:br w:type="page"/>
      </w:r>
    </w:p>
    <w:p w14:paraId="3CC271B0" w14:textId="687707A9" w:rsidR="0048524B" w:rsidRDefault="0048524B">
      <w:r w:rsidRPr="002E1C1E">
        <w:rPr>
          <w:b/>
          <w:noProof/>
        </w:rPr>
        <w:lastRenderedPageBreak/>
        <w:t>Nicholas</w:t>
      </w:r>
      <w:r w:rsidRPr="008357DE">
        <w:rPr>
          <w:b/>
        </w:rPr>
        <w:t xml:space="preserve"> </w:t>
      </w:r>
      <w:r w:rsidRPr="002E1C1E">
        <w:rPr>
          <w:b/>
          <w:noProof/>
        </w:rPr>
        <w:t>Egunjobi</w:t>
      </w:r>
      <w:r w:rsidRPr="008357DE">
        <w:rPr>
          <w:b/>
        </w:rPr>
        <w:t xml:space="preserve"> </w:t>
      </w:r>
      <w:r>
        <w:rPr>
          <w:b/>
        </w:rPr>
        <w:t xml:space="preserve"> </w:t>
      </w:r>
      <w:r w:rsidRPr="008357DE">
        <w:t>(</w:t>
      </w:r>
      <w:r>
        <w:rPr>
          <w:noProof/>
        </w:rPr>
        <w:t>University of Leeds</w:t>
      </w:r>
      <w:r w:rsidR="00566255">
        <w:t>)</w:t>
      </w:r>
    </w:p>
    <w:p w14:paraId="0A9030AD" w14:textId="77777777" w:rsidR="0048524B" w:rsidRDefault="0048524B">
      <w:pPr>
        <w:rPr>
          <w:i/>
        </w:rPr>
      </w:pPr>
      <w:r w:rsidRPr="002E1C1E">
        <w:rPr>
          <w:i/>
          <w:noProof/>
        </w:rPr>
        <w:t>The Computational Modelling of Boiling for Nuclear Reactor Thermal-Hydraulics</w:t>
      </w:r>
    </w:p>
    <w:p w14:paraId="58A8181D" w14:textId="77777777" w:rsidR="0048524B" w:rsidRDefault="0048524B" w:rsidP="00AC7DBF">
      <w:pPr>
        <w:rPr>
          <w:noProof/>
        </w:rPr>
      </w:pPr>
      <w:r>
        <w:rPr>
          <w:noProof/>
        </w:rPr>
        <w:t>This study aims to understand and predict the complex phenomena involved in the nucleate boiling of two-phase flow, prevalent in both the thermal management and safe operation of nuclear reactors. Industrial nucleate boiling is currently predicted with computational modelling tools; however, caution is taken for these tools as they are accurate under specific conditions, which is unfounded in normal operations.</w:t>
      </w:r>
    </w:p>
    <w:p w14:paraId="43B20460" w14:textId="77777777" w:rsidR="0048524B" w:rsidRDefault="0048524B" w:rsidP="00AC7DBF">
      <w:pPr>
        <w:rPr>
          <w:noProof/>
        </w:rPr>
      </w:pPr>
      <w:r>
        <w:rPr>
          <w:noProof/>
        </w:rPr>
        <w:t>The desire for complete modelling tools spans over decades of research and brings forth a vast number of experimental and theoretical studies. This, as well as an increasing number of computational tools, has been developed in order to understand the boiling phenomena. As such, there is a debate on the use of empirical models, currently used in industry and are seen as a panacea due to their reliability in specific conditions. In contrast, mechanistic models aim to quantify the parameters under various conditions for further understanding.</w:t>
      </w:r>
    </w:p>
    <w:p w14:paraId="1F5EA9AC" w14:textId="77777777" w:rsidR="0048524B" w:rsidRDefault="0048524B" w:rsidP="00AC7DBF">
      <w:pPr>
        <w:rPr>
          <w:noProof/>
        </w:rPr>
      </w:pPr>
      <w:r>
        <w:rPr>
          <w:noProof/>
        </w:rPr>
        <w:t>This study proposes a mechanistic model based on the Klausner (1993) experiment for the analysis of thermal-hydraulic data to be validated by comparing against previous results. This can subsequently be incorporated into computational fluid dynamic codes to improve the accuracy of prediction.</w:t>
      </w:r>
    </w:p>
    <w:p w14:paraId="0D9FFA50" w14:textId="77777777" w:rsidR="0048524B" w:rsidRDefault="0048524B">
      <w:r>
        <w:rPr>
          <w:noProof/>
        </w:rPr>
        <w:t>The model was validated and proved to have an accurate prediction of thermal-hydraulic data; for instance, parametric bubble departure diameters decreased with increasing mass flux and decreasing heat flux in accordance with parametric trends present in literature. The study confirmed that mechanistic modelling is the route to take to improving the understanding of the boiling phenomena and obtaining accurate thermal-hydraulic data predictions.</w:t>
      </w:r>
    </w:p>
    <w:p w14:paraId="4D5285D6" w14:textId="77777777" w:rsidR="0048524B" w:rsidRDefault="0048524B"/>
    <w:p w14:paraId="71E5341D" w14:textId="377D9983" w:rsidR="0048524B" w:rsidRDefault="0048524B">
      <w:r w:rsidRPr="002E1C1E">
        <w:rPr>
          <w:b/>
          <w:noProof/>
        </w:rPr>
        <w:t>Moustafa</w:t>
      </w:r>
      <w:r w:rsidRPr="008357DE">
        <w:rPr>
          <w:b/>
        </w:rPr>
        <w:t xml:space="preserve"> </w:t>
      </w:r>
      <w:r w:rsidRPr="002E1C1E">
        <w:rPr>
          <w:b/>
          <w:noProof/>
        </w:rPr>
        <w:t>Abdelwahab</w:t>
      </w:r>
      <w:r w:rsidRPr="008357DE">
        <w:rPr>
          <w:b/>
        </w:rPr>
        <w:t xml:space="preserve"> </w:t>
      </w:r>
      <w:r>
        <w:rPr>
          <w:b/>
        </w:rPr>
        <w:t xml:space="preserve"> </w:t>
      </w:r>
      <w:r w:rsidRPr="008357DE">
        <w:t>(</w:t>
      </w:r>
      <w:r>
        <w:rPr>
          <w:noProof/>
        </w:rPr>
        <w:t>University of Leeds</w:t>
      </w:r>
      <w:r w:rsidR="00566255">
        <w:t>)</w:t>
      </w:r>
    </w:p>
    <w:p w14:paraId="010D206B" w14:textId="77777777" w:rsidR="0048524B" w:rsidRDefault="0048524B">
      <w:pPr>
        <w:rPr>
          <w:i/>
        </w:rPr>
      </w:pPr>
      <w:r w:rsidRPr="002E1C1E">
        <w:rPr>
          <w:i/>
          <w:noProof/>
        </w:rPr>
        <w:t>Optimised 3D-Printed Metallic Node Connections for Reticulated Structures</w:t>
      </w:r>
    </w:p>
    <w:p w14:paraId="6FA1614A" w14:textId="77777777" w:rsidR="0048524B" w:rsidRDefault="0048524B" w:rsidP="00AC7DBF">
      <w:pPr>
        <w:rPr>
          <w:noProof/>
        </w:rPr>
      </w:pPr>
      <w:r>
        <w:rPr>
          <w:noProof/>
        </w:rPr>
        <w:t>This paper exploits the methodology and benefits of using Structural Topology Optimisation (STO) together with Additive Manufacturing (3D printing) in the design and fabrication of a new breed of irregular node connections mainly used in reticulated structures. These connections are aimed to the desired connection performance with optimal material efficiency.</w:t>
      </w:r>
    </w:p>
    <w:p w14:paraId="1D1E4B79" w14:textId="77777777" w:rsidR="0048524B" w:rsidRDefault="0048524B" w:rsidP="00AC7DBF">
      <w:pPr>
        <w:rPr>
          <w:noProof/>
        </w:rPr>
      </w:pPr>
      <w:r>
        <w:rPr>
          <w:noProof/>
        </w:rPr>
        <w:t>STO is a prevalent optimisation technique used nowadays to reach highly complex and efficient designs (weight-to-stiffness ratio) unable to be achieved otherwise. Form-finding of free-form reticulated structures results in rather irregular shapes that meet certain structural and architectural criteria, yet not much emphasis has been given to the design of connections which is still done by traditional methods (casting or welding). 3D printing is a developing manufacturing process that overcomes many of the manufacturing limitations and realises highly optimised products through a layer-based fabrication process. The influence of the rapidly expanding $7.3 billion Additive Manufacturing market has been slower on the construction industry compared to other sectors. Recent research on connections of reticulated and tensegrity structures proposed optimising and 3D printing alternative bespoke complex connection designs which have shown its significance through obtaining substantial weight reductions for the same structural capacity.</w:t>
      </w:r>
    </w:p>
    <w:p w14:paraId="2E421C14" w14:textId="77777777" w:rsidR="0048524B" w:rsidRDefault="0048524B" w:rsidP="00AC7DBF">
      <w:pPr>
        <w:rPr>
          <w:noProof/>
        </w:rPr>
      </w:pPr>
      <w:r>
        <w:rPr>
          <w:noProof/>
        </w:rPr>
        <w:t xml:space="preserve">As STO can yield bespoke designs of connections for every single node (with different angles of tie members), this paper builds upon previous research through optimising an S355 single layer </w:t>
      </w:r>
      <w:r>
        <w:rPr>
          <w:noProof/>
        </w:rPr>
        <w:lastRenderedPageBreak/>
        <w:t>traditional node-connection under six loading cases and testing the structural behaviour of the optimised connections while comparing with the traditional ones. This research attempts to showcase the way through fabricating several scaled connection designs as a proof of concept for the applicability and cost relevance of the layer-based fabrication process which can fully exploit the optimisation advantages. Optimised shapes with volume reductions by over 40 per cent were obtained in all loading cases with stress levels varying based on the type and magnitude of the applied loading. The results presented in this paper could allow for a better understanding of the behaviour of the optimised connections under various loadings scenarios.</w:t>
      </w:r>
    </w:p>
    <w:p w14:paraId="393BEACE" w14:textId="77777777" w:rsidR="0048524B" w:rsidRDefault="0048524B">
      <w:r>
        <w:rPr>
          <w:noProof/>
        </w:rPr>
        <w:t>Keywords: Structural Topology Optimisation, Additive Manufacturing, structural connections, node connections, 3D printing, reticulated structures, lattice structures, spatial structures, production technology, advanced design, advanced manufacturing, metal, weight reduction</w:t>
      </w:r>
    </w:p>
    <w:p w14:paraId="4AABBBE0" w14:textId="77777777" w:rsidR="0048524B" w:rsidRDefault="0048524B"/>
    <w:p w14:paraId="309C706D" w14:textId="77777777" w:rsidR="006105AE" w:rsidRDefault="006105AE">
      <w:pPr>
        <w:rPr>
          <w:b/>
          <w:noProof/>
        </w:rPr>
      </w:pPr>
      <w:r>
        <w:rPr>
          <w:b/>
          <w:noProof/>
        </w:rPr>
        <w:br w:type="page"/>
      </w:r>
    </w:p>
    <w:p w14:paraId="4A2C89A5" w14:textId="0D7125D0" w:rsidR="0082408E" w:rsidRDefault="0082408E" w:rsidP="00F93DB6">
      <w:pPr>
        <w:pStyle w:val="Heading1"/>
      </w:pPr>
      <w:bookmarkStart w:id="0" w:name="_GoBack"/>
      <w:bookmarkEnd w:id="0"/>
      <w:r>
        <w:lastRenderedPageBreak/>
        <w:t xml:space="preserve">Panel 18A: </w:t>
      </w:r>
      <w:r w:rsidR="00F93DB6" w:rsidRPr="00F93DB6">
        <w:t>Health and Wellbeing</w:t>
      </w:r>
    </w:p>
    <w:p w14:paraId="48C4647E" w14:textId="77777777" w:rsidR="00F93DB6" w:rsidRPr="00F93DB6" w:rsidRDefault="00F93DB6" w:rsidP="00F93DB6"/>
    <w:p w14:paraId="0771D5C4" w14:textId="699BB2E0" w:rsidR="0048524B" w:rsidRDefault="0048524B">
      <w:r w:rsidRPr="002E1C1E">
        <w:rPr>
          <w:b/>
          <w:noProof/>
        </w:rPr>
        <w:t>Zothile</w:t>
      </w:r>
      <w:r w:rsidRPr="008357DE">
        <w:rPr>
          <w:b/>
        </w:rPr>
        <w:t xml:space="preserve"> </w:t>
      </w:r>
      <w:r w:rsidRPr="002E1C1E">
        <w:rPr>
          <w:b/>
          <w:noProof/>
        </w:rPr>
        <w:t>Mbonani</w:t>
      </w:r>
      <w:r w:rsidRPr="008357DE">
        <w:rPr>
          <w:b/>
        </w:rPr>
        <w:t xml:space="preserve"> </w:t>
      </w:r>
      <w:r>
        <w:rPr>
          <w:b/>
        </w:rPr>
        <w:t xml:space="preserve"> </w:t>
      </w:r>
      <w:r w:rsidRPr="008357DE">
        <w:t>(</w:t>
      </w:r>
      <w:r>
        <w:rPr>
          <w:noProof/>
        </w:rPr>
        <w:t>Monash University South Africa</w:t>
      </w:r>
      <w:r w:rsidR="00F93DB6">
        <w:t>)</w:t>
      </w:r>
    </w:p>
    <w:p w14:paraId="35226F2F" w14:textId="77777777" w:rsidR="0048524B" w:rsidRDefault="0048524B">
      <w:pPr>
        <w:rPr>
          <w:i/>
        </w:rPr>
      </w:pPr>
      <w:r w:rsidRPr="002E1C1E">
        <w:rPr>
          <w:i/>
          <w:noProof/>
        </w:rPr>
        <w:t>The South African Health System</w:t>
      </w:r>
    </w:p>
    <w:p w14:paraId="051033A5" w14:textId="77777777" w:rsidR="0048524B" w:rsidRDefault="0048524B">
      <w:r>
        <w:rPr>
          <w:noProof/>
        </w:rPr>
        <w:t>Health systems play a very important role when it comes to health delivery. A health system is one that has a primary purpose which is to promote, maintain and restore the health of the people (Muyanga, 2017). The aim of this research is to examine whether the South African health system is doing enough to meet the health needs of the people and whether there are health service inequalities between the public and private sector. A qualitative content analysis of secondary sources was examined whereby evidence showed that in the year 2012, South Africa proved to have poor health quality services being provided to inpatients and outpatients (Peltzer and Phaswana-Mafuya, 2012). Healthcare responsiveness showed to be higher in the private sector compared to the public sector (Peltzer and Phaswana-Mafuya, 2012). By further examining secondary sources, it was found that in response to the poor performance of the public sector in South Africa, the health system implemented strategies such as the Health Sector Strategic Framework, the National Health Act of 2003 and the Student Legislation that obliged students to work in the public sector for a year after graduation. The most current strategy is the National Health Insurance (NHI), which is still in the process of implementation. In conclusion, there are still huge gaps between the public sector as well as the private sector of healthcare despite the strategies that have been implemented. Therefore, a question we should be asking ourselves is: ‘Is the NHI our answer to these healthcare inequalities?’</w:t>
      </w:r>
    </w:p>
    <w:p w14:paraId="599A050D" w14:textId="77777777" w:rsidR="0048524B" w:rsidRDefault="0048524B"/>
    <w:p w14:paraId="04C0A1D6" w14:textId="0C93589A" w:rsidR="0048524B" w:rsidRDefault="0048524B">
      <w:r w:rsidRPr="002E1C1E">
        <w:rPr>
          <w:b/>
          <w:noProof/>
        </w:rPr>
        <w:t>Matthew</w:t>
      </w:r>
      <w:r w:rsidRPr="008357DE">
        <w:rPr>
          <w:b/>
        </w:rPr>
        <w:t xml:space="preserve"> </w:t>
      </w:r>
      <w:r w:rsidRPr="002E1C1E">
        <w:rPr>
          <w:b/>
          <w:noProof/>
        </w:rPr>
        <w:t>Padgett</w:t>
      </w:r>
      <w:r w:rsidRPr="008357DE">
        <w:rPr>
          <w:b/>
        </w:rPr>
        <w:t xml:space="preserve"> </w:t>
      </w:r>
      <w:r w:rsidRPr="002E1C1E">
        <w:rPr>
          <w:b/>
          <w:noProof/>
        </w:rPr>
        <w:t>and Samantha Booth</w:t>
      </w:r>
      <w:r>
        <w:rPr>
          <w:b/>
        </w:rPr>
        <w:t xml:space="preserve"> </w:t>
      </w:r>
      <w:r w:rsidRPr="008357DE">
        <w:t>(</w:t>
      </w:r>
      <w:r>
        <w:rPr>
          <w:noProof/>
        </w:rPr>
        <w:t>University of Leeds</w:t>
      </w:r>
      <w:r w:rsidR="00F93DB6">
        <w:t>)</w:t>
      </w:r>
    </w:p>
    <w:p w14:paraId="6D0D479C" w14:textId="77777777" w:rsidR="0048524B" w:rsidRDefault="0048524B">
      <w:pPr>
        <w:rPr>
          <w:i/>
        </w:rPr>
      </w:pPr>
      <w:r w:rsidRPr="002E1C1E">
        <w:rPr>
          <w:i/>
          <w:noProof/>
        </w:rPr>
        <w:t>The Effects of Inducing Neuroplasticity Using Theta Burst Stimulation in the Posterior Parietal Cortex on a Range of Cognitive Tasks</w:t>
      </w:r>
    </w:p>
    <w:p w14:paraId="318126B5" w14:textId="77777777" w:rsidR="0048524B" w:rsidRDefault="0048524B">
      <w:r>
        <w:rPr>
          <w:noProof/>
        </w:rPr>
        <w:t xml:space="preserve">Inducing neuroplasticity as a treatment for neuropsychological disorders is not adequately understood. Previous studies have utilised Theta Burst Stimulation (TBS) in the motor cortex (stroke) and in the prefrontal cortex (cognitive decline). However, inducing neuroplasticity via TBS in the Posterior Parietal Cortex (PPC), involved in motor and cognitive functioning, is poorly understood. Therefore, inhibitory (continuous) and excitatory (intermittent) TBS was administered to the right and left PPC across four sessions, one week apart, to 20 healthy undergraduates (aged 18–22) in a single blind, 2 (Continuous/Intermittent TBS) x 2 (Left/Right PPC) design, across a range of cognitive tasks, with eye (EyeLink 1000) or button box recordings taken. Reaction time and/or accuracy were measured before and after stimulation. Results showed no effects of stimulation, or sham stimulation, indicating the direction of plasticity did not inform resultant behaviour, and was not due to learning effects. However, performance changes did reveal hemisphere and task differences. Inhibition data demonstrated an interaction between stimulation and trial, and between stimulation and hemisphere on prosaccade trials. Further, SLT data showed a marginally significant interaction between stimulation and hemisphere. Finally, N-Back data showed a novel interaction between condition and hemisphere, with increasing task difficulty. Further research must examine the role of TBS in mediating cognitive function, and individual differences to stimulation. Furthermore, additional research is needed into the function/laterality of the PPC. Increasing knowledge of TBS </w:t>
      </w:r>
      <w:r>
        <w:rPr>
          <w:noProof/>
        </w:rPr>
        <w:lastRenderedPageBreak/>
        <w:t>effects on cognitive function has ramifications for the treatment of neuropsychological disorders, such as stroke and depression.</w:t>
      </w:r>
    </w:p>
    <w:p w14:paraId="42B6AB1F" w14:textId="77777777" w:rsidR="0048524B" w:rsidRDefault="0048524B"/>
    <w:p w14:paraId="74CF9508" w14:textId="1659E364" w:rsidR="0048524B" w:rsidRDefault="0048524B">
      <w:r w:rsidRPr="002E1C1E">
        <w:rPr>
          <w:b/>
          <w:noProof/>
        </w:rPr>
        <w:t>Elizabeth</w:t>
      </w:r>
      <w:r w:rsidRPr="008357DE">
        <w:rPr>
          <w:b/>
        </w:rPr>
        <w:t xml:space="preserve"> </w:t>
      </w:r>
      <w:r w:rsidRPr="002E1C1E">
        <w:rPr>
          <w:b/>
          <w:noProof/>
        </w:rPr>
        <w:t>Mckee</w:t>
      </w:r>
      <w:r w:rsidRPr="008357DE">
        <w:rPr>
          <w:b/>
        </w:rPr>
        <w:t xml:space="preserve"> </w:t>
      </w:r>
      <w:r>
        <w:rPr>
          <w:b/>
        </w:rPr>
        <w:t xml:space="preserve"> </w:t>
      </w:r>
      <w:r w:rsidRPr="008357DE">
        <w:t>(</w:t>
      </w:r>
      <w:r>
        <w:rPr>
          <w:noProof/>
        </w:rPr>
        <w:t>University of Leeds</w:t>
      </w:r>
      <w:r w:rsidR="00F93DB6">
        <w:t>)</w:t>
      </w:r>
    </w:p>
    <w:p w14:paraId="5A954CC4" w14:textId="77777777" w:rsidR="0048524B" w:rsidRDefault="0048524B">
      <w:pPr>
        <w:rPr>
          <w:i/>
        </w:rPr>
      </w:pPr>
      <w:r w:rsidRPr="002E1C1E">
        <w:rPr>
          <w:i/>
          <w:noProof/>
        </w:rPr>
        <w:t>Standing on the Shoulders of Giants: The process of carrying out a meta-analysis in health behaviour change research</w:t>
      </w:r>
    </w:p>
    <w:p w14:paraId="2CAED498" w14:textId="77777777" w:rsidR="0048524B" w:rsidRDefault="0048524B">
      <w:r>
        <w:rPr>
          <w:noProof/>
        </w:rPr>
        <w:t>The increasing awareness for the need to help people change their health behaviours is illustrated in the media through headlines such as ‘UK women living shorter lives than most of their European counterparts’. Working within the discipline of health psychology, 25 years ago Sheeran and Webb identified the need to investigate the psychological factors that may affect health behaviours in which people engage and published a systematic review of the literature. There, however, has been a vast amount of research published since their seminal paper. Working in collaboration with both Sheeran and Webb, researchers from the UK, Australia, Singapore and the USA are working together to produce four separate systematic reviews to extend current understanding as to how the following psychological factors may affect health behaviour engagement: motivation, social, attitudes and self-efficacy. Each review involves identifying suitable studies through databases searches, screening these studies for eligibility against inclusion and exclusion criteria. Once marked for inclusion, each study’s effect size is calculated so that it may be collated with the rest to form a total effect size. The total effect size indicates the relative impact that specific factor has on health behaviour engagement. The findings from these reviews may serve to inform existing theories as to whether they should include these factors or whether they need to place greater or less emphasis on them. Through further refining health behaviour theory, the present research seeks to illuminate how we may better support people through changing their health behaviour to live healthier lives.</w:t>
      </w:r>
    </w:p>
    <w:p w14:paraId="4A1E9972" w14:textId="77777777" w:rsidR="0048524B" w:rsidRDefault="0048524B"/>
    <w:p w14:paraId="12F1762B" w14:textId="59949985" w:rsidR="0048524B" w:rsidRDefault="0048524B">
      <w:r w:rsidRPr="002E1C1E">
        <w:rPr>
          <w:b/>
          <w:noProof/>
        </w:rPr>
        <w:t>Aimee</w:t>
      </w:r>
      <w:r w:rsidRPr="008357DE">
        <w:rPr>
          <w:b/>
        </w:rPr>
        <w:t xml:space="preserve"> </w:t>
      </w:r>
      <w:r w:rsidRPr="002E1C1E">
        <w:rPr>
          <w:b/>
          <w:noProof/>
        </w:rPr>
        <w:t>McCreedy</w:t>
      </w:r>
      <w:r w:rsidRPr="008357DE">
        <w:rPr>
          <w:b/>
        </w:rPr>
        <w:t xml:space="preserve"> </w:t>
      </w:r>
      <w:r>
        <w:rPr>
          <w:b/>
        </w:rPr>
        <w:t xml:space="preserve"> </w:t>
      </w:r>
      <w:r w:rsidRPr="008357DE">
        <w:t>(</w:t>
      </w:r>
      <w:r>
        <w:rPr>
          <w:noProof/>
        </w:rPr>
        <w:t>University of Warwick</w:t>
      </w:r>
      <w:r w:rsidR="00F93DB6">
        <w:t>)</w:t>
      </w:r>
    </w:p>
    <w:p w14:paraId="544F1B99" w14:textId="77777777" w:rsidR="0048524B" w:rsidRDefault="0048524B">
      <w:pPr>
        <w:rPr>
          <w:i/>
        </w:rPr>
      </w:pPr>
      <w:r w:rsidRPr="002E1C1E">
        <w:rPr>
          <w:i/>
          <w:noProof/>
        </w:rPr>
        <w:t>Is Caffeine Always Bad for Breastfed Babies?</w:t>
      </w:r>
    </w:p>
    <w:p w14:paraId="79E29D76" w14:textId="77777777" w:rsidR="0048524B" w:rsidRDefault="0048524B" w:rsidP="00AC7DBF">
      <w:pPr>
        <w:rPr>
          <w:noProof/>
        </w:rPr>
      </w:pPr>
      <w:r>
        <w:rPr>
          <w:noProof/>
        </w:rPr>
        <w:t>Nutrition in the first 1000 days from conception to two years old is critical for child health, affecting not only a child’s current health but also their future health and the health of subsequent generations. Exclusive breastfeeding, rather than milk formula feeding, is promoted by the WHO and NHS as the infant’s best source of nutrition in the first six months. As maternally consumed substances such as caffeine can be transmitted into breast milk, the NHS recommends that breastfeeding mothers moderate their caffeine intake. However, the evidence base for this advice is unclear, and breastfed children have not been considered in recent caffeine reviews. Caffeine is a central nervous system stimulant occurring naturally in some foods, and is used clinically to treat primary apnoea (cessation of breathing) in premature babies. High caffeine intake can be harmful, but otherwise its health effects are debated.</w:t>
      </w:r>
    </w:p>
    <w:p w14:paraId="05BFB2C1" w14:textId="77777777" w:rsidR="0048524B" w:rsidRDefault="0048524B">
      <w:r>
        <w:rPr>
          <w:noProof/>
        </w:rPr>
        <w:t>This presentation will address two main questions: 1) What are the effects on a breastfed child when a breastfeeding mother consumes caffeine? 2) Are the guidelines for breastfeeding mothers to restrict caffeine based on evidence? By undertaking a systematic review of the evidence, I evaluated the effects of maternal caffeine consumption on the breastfed child. In an age when evidence-based medicine is de rigueur, I recommend research which could, and arguably should, be undertaken to improve the poor knowledge base and allow evidence-based public health messaging on this topic which affects many children and mothers.</w:t>
      </w:r>
    </w:p>
    <w:p w14:paraId="26394565" w14:textId="77777777" w:rsidR="0048524B" w:rsidRDefault="0048524B"/>
    <w:p w14:paraId="5F65A58E" w14:textId="33A231F0" w:rsidR="0048524B" w:rsidRPr="00F93DB6" w:rsidRDefault="0048524B">
      <w:pPr>
        <w:rPr>
          <w:b/>
          <w:noProof/>
        </w:rPr>
      </w:pPr>
      <w:r w:rsidRPr="002E1C1E">
        <w:rPr>
          <w:b/>
          <w:noProof/>
        </w:rPr>
        <w:t>Philip</w:t>
      </w:r>
      <w:r w:rsidRPr="008357DE">
        <w:rPr>
          <w:b/>
        </w:rPr>
        <w:t xml:space="preserve"> </w:t>
      </w:r>
      <w:r w:rsidRPr="002E1C1E">
        <w:rPr>
          <w:b/>
          <w:noProof/>
        </w:rPr>
        <w:t>Voyias,</w:t>
      </w:r>
      <w:r w:rsidRPr="008357DE">
        <w:rPr>
          <w:b/>
        </w:rPr>
        <w:t xml:space="preserve"> </w:t>
      </w:r>
      <w:r w:rsidRPr="002E1C1E">
        <w:rPr>
          <w:b/>
          <w:noProof/>
        </w:rPr>
        <w:t>William Harper, Santosh Baniya and Tom Barber</w:t>
      </w:r>
      <w:r w:rsidR="00F93DB6">
        <w:rPr>
          <w:b/>
          <w:noProof/>
        </w:rPr>
        <w:t xml:space="preserve">  </w:t>
      </w:r>
      <w:r w:rsidRPr="008357DE">
        <w:t>(</w:t>
      </w:r>
      <w:r>
        <w:rPr>
          <w:noProof/>
        </w:rPr>
        <w:t>University of Warwick</w:t>
      </w:r>
      <w:r w:rsidR="00F93DB6">
        <w:t>)</w:t>
      </w:r>
    </w:p>
    <w:p w14:paraId="598D1845" w14:textId="77777777" w:rsidR="0048524B" w:rsidRDefault="0048524B">
      <w:pPr>
        <w:rPr>
          <w:i/>
        </w:rPr>
      </w:pPr>
      <w:r w:rsidRPr="002E1C1E">
        <w:rPr>
          <w:i/>
          <w:noProof/>
        </w:rPr>
        <w:t>The Impact of Travelling to High Altitude in the Himalayas on Self-Reported Appetite</w:t>
      </w:r>
    </w:p>
    <w:p w14:paraId="14E8E72F" w14:textId="77777777" w:rsidR="0048524B" w:rsidRDefault="0048524B" w:rsidP="00AC7DBF">
      <w:pPr>
        <w:rPr>
          <w:noProof/>
        </w:rPr>
      </w:pPr>
      <w:r>
        <w:rPr>
          <w:noProof/>
        </w:rPr>
        <w:t>Appetite plays an important role in determining food consumption and blood sugar levels. At high altitude, improved blood sugar levels have been documented compared to low altitude; however, a link between altitude and appetite is unknown. If appetite is suppressed at high altitude, it may provide a novel area for researching medications to treat diseases of over-eating like obesity and diabetes.</w:t>
      </w:r>
    </w:p>
    <w:p w14:paraId="45F9C0ED" w14:textId="77777777" w:rsidR="0048524B" w:rsidRDefault="0048524B" w:rsidP="00AC7DBF">
      <w:pPr>
        <w:rPr>
          <w:noProof/>
        </w:rPr>
      </w:pPr>
      <w:r>
        <w:rPr>
          <w:noProof/>
        </w:rPr>
        <w:t>Aim: To assess whether self-reported appetite is influenced by altitude accounting for physical exertion, age, gender, duration at altitude, physical fitness, illness and medication.</w:t>
      </w:r>
    </w:p>
    <w:p w14:paraId="196B2F8C" w14:textId="77777777" w:rsidR="0048524B" w:rsidRDefault="0048524B" w:rsidP="00AC7DBF">
      <w:pPr>
        <w:rPr>
          <w:noProof/>
        </w:rPr>
      </w:pPr>
      <w:r>
        <w:rPr>
          <w:noProof/>
        </w:rPr>
        <w:t>Methods: Ethical approval was obtained and adhered to, and all participants gave informed written consent. Resident lowlanders visiting Nepal were invited to complete a questionnaire about appetite and variables including altitude, age and gender to assess whether these were linked to appetite. This was repeated at seven altitudes from 2600 metres to 5200 metres. Quantitative data analysis investigating normal distribution, correlations between appetite and altitude, and linear regression was performed using SPSS software.</w:t>
      </w:r>
    </w:p>
    <w:p w14:paraId="400BD378" w14:textId="77777777" w:rsidR="0048524B" w:rsidRDefault="0048524B" w:rsidP="00AC7DBF">
      <w:pPr>
        <w:rPr>
          <w:noProof/>
        </w:rPr>
      </w:pPr>
      <w:r>
        <w:rPr>
          <w:noProof/>
        </w:rPr>
        <w:t>Results: 149 questionnaires were completed. Participants score for ‘how much can you eat?’ decreased significantly with increasing altitude, while responses to both ‘how full are you?’ and ‘how satisfied are you?’ increased significantly with increasing altitude.</w:t>
      </w:r>
    </w:p>
    <w:p w14:paraId="20BC729F" w14:textId="77777777" w:rsidR="0048524B" w:rsidRDefault="0048524B">
      <w:r>
        <w:rPr>
          <w:noProof/>
        </w:rPr>
        <w:t>Conclusions: As resident lowlanders travel to higher altitudes, their appetite is reduced, and satiety is increased with a graded response. These new findings are consistent with existing literature and support the hypothesis of appetite suppression with increasing altitude. Interventional studies may isolate appetite suppression factors that can be used to help alleviate obesity and diabetes.</w:t>
      </w:r>
    </w:p>
    <w:p w14:paraId="7885F0EF" w14:textId="77777777" w:rsidR="0048524B" w:rsidRDefault="0048524B"/>
    <w:p w14:paraId="0F57E70B" w14:textId="77777777" w:rsidR="00E027F7" w:rsidRDefault="00E027F7">
      <w:pPr>
        <w:rPr>
          <w:b/>
          <w:noProof/>
        </w:rPr>
      </w:pPr>
      <w:r>
        <w:rPr>
          <w:b/>
          <w:noProof/>
        </w:rPr>
        <w:br w:type="page"/>
      </w:r>
    </w:p>
    <w:p w14:paraId="5B1AA7A1" w14:textId="7E0B9814" w:rsidR="00E027F7" w:rsidRDefault="00E027F7" w:rsidP="00E027F7">
      <w:pPr>
        <w:pStyle w:val="Heading1"/>
      </w:pPr>
      <w:r w:rsidRPr="00E027F7">
        <w:lastRenderedPageBreak/>
        <w:t>Panel 18B: Political Issues</w:t>
      </w:r>
    </w:p>
    <w:p w14:paraId="1DD63C44" w14:textId="77777777" w:rsidR="00E027F7" w:rsidRPr="00E027F7" w:rsidRDefault="00E027F7" w:rsidP="00E027F7"/>
    <w:p w14:paraId="45790359" w14:textId="361F0AF7" w:rsidR="0048524B" w:rsidRDefault="0048524B">
      <w:r w:rsidRPr="002E1C1E">
        <w:rPr>
          <w:b/>
          <w:noProof/>
        </w:rPr>
        <w:t>Jialing</w:t>
      </w:r>
      <w:r w:rsidRPr="008357DE">
        <w:rPr>
          <w:b/>
        </w:rPr>
        <w:t xml:space="preserve"> </w:t>
      </w:r>
      <w:r w:rsidRPr="002E1C1E">
        <w:rPr>
          <w:b/>
          <w:noProof/>
        </w:rPr>
        <w:t>Xie</w:t>
      </w:r>
      <w:r w:rsidRPr="008357DE">
        <w:rPr>
          <w:b/>
        </w:rPr>
        <w:t xml:space="preserve"> </w:t>
      </w:r>
      <w:r>
        <w:rPr>
          <w:b/>
        </w:rPr>
        <w:t xml:space="preserve"> </w:t>
      </w:r>
      <w:r w:rsidRPr="008357DE">
        <w:t>(</w:t>
      </w:r>
      <w:r>
        <w:rPr>
          <w:noProof/>
        </w:rPr>
        <w:t>Baruch College, CUNY</w:t>
      </w:r>
      <w:r w:rsidR="00E027F7">
        <w:t>)</w:t>
      </w:r>
    </w:p>
    <w:p w14:paraId="4E82575B" w14:textId="77777777" w:rsidR="0048524B" w:rsidRDefault="0048524B">
      <w:pPr>
        <w:rPr>
          <w:i/>
        </w:rPr>
      </w:pPr>
      <w:r w:rsidRPr="002E1C1E">
        <w:rPr>
          <w:i/>
          <w:noProof/>
        </w:rPr>
        <w:t>De-escalation of Tensions and Restorage of Peace Aid in the Cross-Border Issues Facing China’s Mega-project: One belt one road initiative</w:t>
      </w:r>
    </w:p>
    <w:p w14:paraId="795E18B8" w14:textId="77777777" w:rsidR="0048524B" w:rsidRDefault="0048524B" w:rsidP="00AC7DBF">
      <w:pPr>
        <w:rPr>
          <w:noProof/>
        </w:rPr>
      </w:pPr>
      <w:r>
        <w:rPr>
          <w:noProof/>
        </w:rPr>
        <w:t>In 2016, China officially launched the One Belt, One Road (OBOR) initiative. The mega-project stretches from the edge of East Asia all the way to East Africa and Central Europe, and it will impact a lengthy list of over 65 countries that counts for 62 per cent of the world’s population and 40 per cent of the world’s GDP. While many observers have devoted efforts to understand what OBOR is and what it does, the political risks that affect the implementation of the project deserve equal examination.</w:t>
      </w:r>
    </w:p>
    <w:p w14:paraId="29E742CE" w14:textId="77777777" w:rsidR="0048524B" w:rsidRDefault="0048524B" w:rsidP="00AC7DBF">
      <w:pPr>
        <w:rPr>
          <w:noProof/>
        </w:rPr>
      </w:pPr>
      <w:r>
        <w:rPr>
          <w:noProof/>
        </w:rPr>
        <w:t>The project attempts to investigate the political risks facing the initiative, particularly touching upon the cross-border issues that inevitably give rise to legal issues. It focuses specifically on the disputed territories between China and India, through which part of the physical infrastructure of the OBOR initiative passes, and discusses potential approaches to resolve these disputes.</w:t>
      </w:r>
    </w:p>
    <w:p w14:paraId="27FAAB55" w14:textId="77777777" w:rsidR="0048524B" w:rsidRDefault="0048524B" w:rsidP="00AC7DBF">
      <w:pPr>
        <w:rPr>
          <w:noProof/>
        </w:rPr>
      </w:pPr>
      <w:r>
        <w:rPr>
          <w:noProof/>
        </w:rPr>
        <w:t>Primarily applying qualitative research methods to collect and analyse information sourcing from scholarly publications, official documents, and international and domestic mainstream news media, the project will also include conclusions derived from interviews.</w:t>
      </w:r>
    </w:p>
    <w:p w14:paraId="568BB531" w14:textId="77777777" w:rsidR="0048524B" w:rsidRDefault="0048524B">
      <w:r>
        <w:rPr>
          <w:noProof/>
        </w:rPr>
        <w:t>Both India and China are nuclear-armed. Any unconventional approach will end up affecting both parties severely. It is preferable to de-escalate current tensions and come up with a workable solution and restore the peace.</w:t>
      </w:r>
    </w:p>
    <w:p w14:paraId="48B3066C" w14:textId="77777777" w:rsidR="0048524B" w:rsidRDefault="0048524B"/>
    <w:p w14:paraId="170A2D1C" w14:textId="430B077C" w:rsidR="0048524B" w:rsidRDefault="0048524B">
      <w:r w:rsidRPr="002E1C1E">
        <w:rPr>
          <w:b/>
          <w:noProof/>
        </w:rPr>
        <w:t>Denise</w:t>
      </w:r>
      <w:r w:rsidRPr="008357DE">
        <w:rPr>
          <w:b/>
        </w:rPr>
        <w:t xml:space="preserve"> </w:t>
      </w:r>
      <w:r w:rsidRPr="002E1C1E">
        <w:rPr>
          <w:b/>
          <w:noProof/>
        </w:rPr>
        <w:t>MacQuire</w:t>
      </w:r>
      <w:r w:rsidRPr="008357DE">
        <w:rPr>
          <w:b/>
        </w:rPr>
        <w:t xml:space="preserve"> </w:t>
      </w:r>
      <w:r>
        <w:rPr>
          <w:b/>
        </w:rPr>
        <w:t xml:space="preserve"> </w:t>
      </w:r>
      <w:r w:rsidRPr="008357DE">
        <w:t>(</w:t>
      </w:r>
      <w:r>
        <w:rPr>
          <w:noProof/>
        </w:rPr>
        <w:t>Baruch College, CUNY</w:t>
      </w:r>
      <w:r w:rsidR="00E027F7">
        <w:t>)</w:t>
      </w:r>
    </w:p>
    <w:p w14:paraId="7C7156C5" w14:textId="77777777" w:rsidR="0048524B" w:rsidRDefault="0048524B">
      <w:pPr>
        <w:rPr>
          <w:i/>
        </w:rPr>
      </w:pPr>
      <w:r w:rsidRPr="002E1C1E">
        <w:rPr>
          <w:i/>
          <w:noProof/>
        </w:rPr>
        <w:t>Language of First Inhabitants of South Africa</w:t>
      </w:r>
    </w:p>
    <w:p w14:paraId="1920A441" w14:textId="77777777" w:rsidR="00116CA7" w:rsidRDefault="00116CA7" w:rsidP="00116CA7">
      <w:pPr>
        <w:spacing w:after="0" w:line="240" w:lineRule="auto"/>
        <w:rPr>
          <w:rFonts w:cs="Times New Roman"/>
        </w:rPr>
      </w:pPr>
      <w:r w:rsidRPr="00116CA7">
        <w:rPr>
          <w:rFonts w:cs="Times New Roman"/>
        </w:rPr>
        <w:t>The importance of the research is to show that the Xhosa language in South Africa originates from the Khoi-Khoi tribe, the first inhabitants of South Africa. Xhosa is one of the official languages of South Africa and the Khoi-Khoi language is not. My research asks the question why not? The past Apartheid and present South African Governments have made minimal effort to address this problem.</w:t>
      </w:r>
    </w:p>
    <w:p w14:paraId="7BE09DA7" w14:textId="77777777" w:rsidR="00116CA7" w:rsidRDefault="00116CA7" w:rsidP="00116CA7">
      <w:pPr>
        <w:spacing w:after="0" w:line="240" w:lineRule="auto"/>
        <w:rPr>
          <w:rFonts w:cs="Times New Roman"/>
        </w:rPr>
      </w:pPr>
    </w:p>
    <w:p w14:paraId="788BED04" w14:textId="144A126E" w:rsidR="00116CA7" w:rsidRDefault="00116CA7" w:rsidP="00116CA7">
      <w:pPr>
        <w:spacing w:after="0" w:line="240" w:lineRule="auto"/>
        <w:rPr>
          <w:rFonts w:cs="Times New Roman"/>
        </w:rPr>
      </w:pPr>
      <w:r w:rsidRPr="00116CA7">
        <w:rPr>
          <w:rFonts w:cs="Times New Roman"/>
        </w:rPr>
        <w:t>The research highlights how an indigenous language can become endangered due to a lack in cultural capital. My research attempts to bring attention to the problem of dying ethnic languages. The research is aimed at South African and International linguistic audiences and cultural influencers.</w:t>
      </w:r>
    </w:p>
    <w:p w14:paraId="730D07DA" w14:textId="77777777" w:rsidR="00116CA7" w:rsidRPr="00116CA7" w:rsidRDefault="00116CA7" w:rsidP="00116CA7">
      <w:pPr>
        <w:spacing w:after="0" w:line="240" w:lineRule="auto"/>
        <w:rPr>
          <w:rFonts w:cs="Times New Roman"/>
        </w:rPr>
      </w:pPr>
    </w:p>
    <w:p w14:paraId="3BCABB88" w14:textId="78B1BE01" w:rsidR="00116CA7" w:rsidRPr="00116CA7" w:rsidRDefault="00116CA7" w:rsidP="00116CA7">
      <w:pPr>
        <w:spacing w:after="0" w:line="240" w:lineRule="auto"/>
        <w:rPr>
          <w:rFonts w:cs="Times New Roman"/>
        </w:rPr>
      </w:pPr>
      <w:r w:rsidRPr="00116CA7">
        <w:rPr>
          <w:rFonts w:cs="Times New Roman"/>
        </w:rPr>
        <w:t xml:space="preserve">In the </w:t>
      </w:r>
      <w:proofErr w:type="gramStart"/>
      <w:r w:rsidRPr="00116CA7">
        <w:rPr>
          <w:rFonts w:cs="Times New Roman"/>
        </w:rPr>
        <w:t>Spring</w:t>
      </w:r>
      <w:proofErr w:type="gramEnd"/>
      <w:r w:rsidRPr="00116CA7">
        <w:rPr>
          <w:rFonts w:cs="Times New Roman"/>
        </w:rPr>
        <w:t xml:space="preserve"> 2018 semester, I wrote a research paper for an interdisciplinary </w:t>
      </w:r>
      <w:proofErr w:type="spellStart"/>
      <w:r w:rsidRPr="00116CA7">
        <w:rPr>
          <w:rFonts w:cs="Times New Roman"/>
        </w:rPr>
        <w:t>honors</w:t>
      </w:r>
      <w:proofErr w:type="spellEnd"/>
      <w:r w:rsidRPr="00116CA7">
        <w:rPr>
          <w:rFonts w:cs="Times New Roman"/>
        </w:rPr>
        <w:t xml:space="preserve"> class and participated in Baruch College Creative Inquiry Day 2018 which highlighted the problem of how the Khoi-Khoi language is becoming endangered. The main argument of the research is that the Khoi-Khoi language should be attributed the same amount of importance as the Xhosa language. The South African Government should </w:t>
      </w:r>
      <w:proofErr w:type="spellStart"/>
      <w:r w:rsidRPr="00116CA7">
        <w:rPr>
          <w:rFonts w:cs="Times New Roman"/>
        </w:rPr>
        <w:t>reevaluate</w:t>
      </w:r>
      <w:proofErr w:type="spellEnd"/>
      <w:r w:rsidRPr="00116CA7">
        <w:rPr>
          <w:rFonts w:cs="Times New Roman"/>
        </w:rPr>
        <w:t xml:space="preserve"> its education policies regarding ethnic-language instruction in primary and secondary schools where Khoi-Khoi populations reside.</w:t>
      </w:r>
    </w:p>
    <w:p w14:paraId="566A7C01" w14:textId="77777777" w:rsidR="0048524B" w:rsidRDefault="0048524B"/>
    <w:p w14:paraId="4E240622" w14:textId="21BE3FC2" w:rsidR="0048524B" w:rsidRDefault="0048524B">
      <w:r w:rsidRPr="002E1C1E">
        <w:rPr>
          <w:b/>
          <w:noProof/>
        </w:rPr>
        <w:lastRenderedPageBreak/>
        <w:t>Anton</w:t>
      </w:r>
      <w:r w:rsidRPr="008357DE">
        <w:rPr>
          <w:b/>
        </w:rPr>
        <w:t xml:space="preserve"> </w:t>
      </w:r>
      <w:r w:rsidRPr="002E1C1E">
        <w:rPr>
          <w:b/>
          <w:noProof/>
        </w:rPr>
        <w:t>Witchell-Chibber</w:t>
      </w:r>
      <w:r w:rsidRPr="008357DE">
        <w:rPr>
          <w:b/>
        </w:rPr>
        <w:t xml:space="preserve"> </w:t>
      </w:r>
      <w:r>
        <w:rPr>
          <w:b/>
        </w:rPr>
        <w:t xml:space="preserve"> </w:t>
      </w:r>
      <w:r w:rsidRPr="008357DE">
        <w:t>(</w:t>
      </w:r>
      <w:r>
        <w:rPr>
          <w:noProof/>
        </w:rPr>
        <w:t>University of Leeds</w:t>
      </w:r>
      <w:r w:rsidR="00E027F7">
        <w:t>)</w:t>
      </w:r>
    </w:p>
    <w:p w14:paraId="570C2309" w14:textId="77777777" w:rsidR="0048524B" w:rsidRDefault="0048524B">
      <w:pPr>
        <w:rPr>
          <w:i/>
        </w:rPr>
      </w:pPr>
      <w:r w:rsidRPr="002E1C1E">
        <w:rPr>
          <w:i/>
          <w:noProof/>
        </w:rPr>
        <w:t>The ‘Stateless State’: An assessment of the 2011 NATO intervention in Libya and its aftermath, 2011–2016</w:t>
      </w:r>
    </w:p>
    <w:p w14:paraId="07A90490" w14:textId="77777777" w:rsidR="0048524B" w:rsidRDefault="0048524B" w:rsidP="00AC7DBF">
      <w:pPr>
        <w:rPr>
          <w:noProof/>
        </w:rPr>
      </w:pPr>
      <w:r>
        <w:rPr>
          <w:noProof/>
        </w:rPr>
        <w:t>As conflict continues to engulf parts of the Middle East and North Africa, the discourse relating to Libya has often been overshadowed by events in Syria and Iraq. Yet, since 2011, the country has remained fraught by violence. For policymakers to push Libya’s warring factions towards national reconciliation, it is vitally important to understand how Libya descended into civil war. Equally, it is crucial that the consequences of NATO’s intervention in Libya in 2011 serve as a cautionary tale in the cost of liberal interventionism. My research asks two questions: to what extent was the initial intervention in Libya a ‘success’, and why in its aftermath did Libya develop into a failed state?</w:t>
      </w:r>
    </w:p>
    <w:p w14:paraId="7A20B830" w14:textId="77777777" w:rsidR="0048524B" w:rsidRDefault="0048524B">
      <w:r>
        <w:rPr>
          <w:noProof/>
        </w:rPr>
        <w:t>Using reports by human rights organisations such as Amnesty International and Human Rights Watch, alongside news bulletins, my research considers the failures of intelligence by the pro-interventionist powers in the threat level to the population of Benghazi, which formed the crux of the humanitarian argument to intervene. It explores the political alternatives to military intervention, which were ignored by the international community in favour of regime change. Finally, the research focuses on the struggles of post-Gaddafi Libya, questioning if Libya’s political collapse was foreseeable or if the pro-interventionists are guilty of inadequate post-war planning. It will be concluded that the lack of a centralised security apparatus gave rise to the proliferation of Gaddafi’s weapons stockpiles and left justice and political policy in the hands of the militias, who were co-opted into the establishment.</w:t>
      </w:r>
    </w:p>
    <w:p w14:paraId="54470C43" w14:textId="77777777" w:rsidR="0048524B" w:rsidRDefault="0048524B"/>
    <w:p w14:paraId="44AE45E0" w14:textId="239206E1" w:rsidR="0048524B" w:rsidRDefault="0048524B">
      <w:r w:rsidRPr="002E1C1E">
        <w:rPr>
          <w:b/>
          <w:noProof/>
        </w:rPr>
        <w:t>David</w:t>
      </w:r>
      <w:r w:rsidRPr="008357DE">
        <w:rPr>
          <w:b/>
        </w:rPr>
        <w:t xml:space="preserve"> </w:t>
      </w:r>
      <w:r w:rsidRPr="002E1C1E">
        <w:rPr>
          <w:b/>
          <w:noProof/>
        </w:rPr>
        <w:t>Dunbar</w:t>
      </w:r>
      <w:r w:rsidRPr="008357DE">
        <w:rPr>
          <w:b/>
        </w:rPr>
        <w:t xml:space="preserve"> </w:t>
      </w:r>
      <w:r>
        <w:rPr>
          <w:b/>
        </w:rPr>
        <w:t xml:space="preserve"> </w:t>
      </w:r>
      <w:r w:rsidRPr="008357DE">
        <w:t>(</w:t>
      </w:r>
      <w:r>
        <w:rPr>
          <w:noProof/>
        </w:rPr>
        <w:t>University of Leeds</w:t>
      </w:r>
      <w:r w:rsidR="00E027F7">
        <w:t>)</w:t>
      </w:r>
    </w:p>
    <w:p w14:paraId="6CBB6C8D" w14:textId="77777777" w:rsidR="0048524B" w:rsidRDefault="0048524B">
      <w:pPr>
        <w:rPr>
          <w:i/>
        </w:rPr>
      </w:pPr>
      <w:r w:rsidRPr="002E1C1E">
        <w:rPr>
          <w:i/>
          <w:noProof/>
        </w:rPr>
        <w:t>The Russian Bogeyman: Reflections of British framing in policy</w:t>
      </w:r>
    </w:p>
    <w:p w14:paraId="6D4056AE" w14:textId="77777777" w:rsidR="0048524B" w:rsidRDefault="0048524B" w:rsidP="00AC7DBF">
      <w:pPr>
        <w:rPr>
          <w:noProof/>
        </w:rPr>
      </w:pPr>
      <w:r>
        <w:rPr>
          <w:noProof/>
        </w:rPr>
        <w:t>The UK’s position in the world is changing; it is leaving the EU, and the world is becoming more multi-polar. It is time for the UK to start thinking about how it will ensure good relations with future global powers.</w:t>
      </w:r>
    </w:p>
    <w:p w14:paraId="584A3BFC" w14:textId="77777777" w:rsidR="0048524B" w:rsidRDefault="0048524B" w:rsidP="00AC7DBF">
      <w:pPr>
        <w:rPr>
          <w:noProof/>
        </w:rPr>
      </w:pPr>
      <w:r>
        <w:rPr>
          <w:noProof/>
        </w:rPr>
        <w:t>In this research, a frame analysis of the British Government’s attitudes towards Russia is conducted. It finds that the UK presents Russia in a very negative light, with statements about Russia having a 3:1 negative to positive ratio. By going a little more in-depth, it reveals that the largest problems for the relationship are the issues of shared values and breaches of international law, with the least influential being economic cooperation.</w:t>
      </w:r>
    </w:p>
    <w:p w14:paraId="32EC063E" w14:textId="77777777" w:rsidR="0048524B" w:rsidRDefault="0048524B">
      <w:r>
        <w:rPr>
          <w:noProof/>
        </w:rPr>
        <w:t>After comparing these results to British policy that concerns Russia, this paper judges that there is a disconnect. The UK’s policy is much more stable and less aggressive than the attitudes of members of the British Government would lead some to believe. Policy concerns reflect the peripheral themes in the statements made by the British Government, but do not convincingly adhere to the core, positive and negative, attitudes.</w:t>
      </w:r>
    </w:p>
    <w:p w14:paraId="23B84E3E" w14:textId="77777777" w:rsidR="0048524B" w:rsidRDefault="0048524B"/>
    <w:p w14:paraId="709E7291" w14:textId="1818FFED" w:rsidR="0048524B" w:rsidRDefault="0048524B">
      <w:r w:rsidRPr="002E1C1E">
        <w:rPr>
          <w:b/>
          <w:noProof/>
        </w:rPr>
        <w:t>Azeema</w:t>
      </w:r>
      <w:r w:rsidRPr="008357DE">
        <w:rPr>
          <w:b/>
        </w:rPr>
        <w:t xml:space="preserve"> </w:t>
      </w:r>
      <w:r w:rsidRPr="002E1C1E">
        <w:rPr>
          <w:b/>
          <w:noProof/>
        </w:rPr>
        <w:t>Ghulam</w:t>
      </w:r>
      <w:r w:rsidRPr="008357DE">
        <w:rPr>
          <w:b/>
        </w:rPr>
        <w:t xml:space="preserve"> </w:t>
      </w:r>
      <w:r>
        <w:rPr>
          <w:b/>
        </w:rPr>
        <w:t xml:space="preserve"> </w:t>
      </w:r>
      <w:r w:rsidRPr="008357DE">
        <w:t>(</w:t>
      </w:r>
      <w:r>
        <w:rPr>
          <w:noProof/>
        </w:rPr>
        <w:t>University of Warwick</w:t>
      </w:r>
      <w:r w:rsidR="00E027F7">
        <w:t>)</w:t>
      </w:r>
    </w:p>
    <w:p w14:paraId="099E20E9" w14:textId="77777777" w:rsidR="0048524B" w:rsidRDefault="0048524B">
      <w:pPr>
        <w:rPr>
          <w:i/>
        </w:rPr>
      </w:pPr>
      <w:r w:rsidRPr="002E1C1E">
        <w:rPr>
          <w:i/>
          <w:noProof/>
        </w:rPr>
        <w:t>Do Indiscriminate Counter-Terror Policies Increase Terrorism? Evidence from ‘precautionary’ Israeli house demolitions in Occupied Palestinian Territories</w:t>
      </w:r>
    </w:p>
    <w:p w14:paraId="1261446B" w14:textId="77777777" w:rsidR="0048524B" w:rsidRDefault="0048524B">
      <w:r>
        <w:rPr>
          <w:noProof/>
        </w:rPr>
        <w:lastRenderedPageBreak/>
        <w:t>Rosendorffen and Sandler (2004) suggest that indiscriminate counter-terror (CT) policies increase terrorism by leaving innocent members of the targeted community aggrieved, making them more susceptible to the appeals of terrorist organisations. In this study, I empirically test their assertion using Israeli indiscriminate CT policies deployed in the Occupied Palestinian Territories as a case study. Using data obtained by B’Tselem (an Israeli-based human rights organisation) and the Israeli Defence Force, I investigate three separate Israeli indiscriminate measures deployed in the Occupied Palestinian Territories: precautionary house demolitions; comprehensive closure days; and the military detention or minors. This study overcomes the simultaneous causality problem faced by previous papers by exploiting Tel-Aviv 125 stock price data as an indirect measure of terrorism to establish a causal relationship between terrorism and indiscriminate CT policies. Since the stock market responds to the expectation of terrorism, one can expect stock prices to increase as efficient CT measures are deployed, and decrease when inefficient measures are deployed. If indiscriminate CT policies are counter-productive, this should be reflected by a decrease in Tel-Aviv 125 stock prices. In the case of precautionary house demolitions and comprehensive closure days, both indiscriminate CT policies that are carried out in public, I find a long-run decrease in stock prices, implying a long-run increase in terrorism. However, this relationship does not hold for the policy of child military detentions, perhaps because detentions, unlike the demolitions and closure days, are ordered in secret, so potential increases in terrorism generated by grievances might not materialise since the population does not know they are being targeted, suggesting that indiscriminate CT policies more broadly prove counter-productive if conducted in public.</w:t>
      </w:r>
    </w:p>
    <w:p w14:paraId="388A7212" w14:textId="77777777" w:rsidR="0048524B" w:rsidRDefault="0048524B"/>
    <w:p w14:paraId="7ABD8D99" w14:textId="77777777" w:rsidR="000817E4" w:rsidRDefault="000817E4">
      <w:pPr>
        <w:rPr>
          <w:b/>
          <w:noProof/>
        </w:rPr>
      </w:pPr>
      <w:r>
        <w:rPr>
          <w:b/>
          <w:noProof/>
        </w:rPr>
        <w:br w:type="page"/>
      </w:r>
    </w:p>
    <w:p w14:paraId="043E2845" w14:textId="228B935A" w:rsidR="00447D8B" w:rsidRDefault="00447D8B" w:rsidP="00447D8B">
      <w:pPr>
        <w:pStyle w:val="Heading1"/>
      </w:pPr>
      <w:r>
        <w:lastRenderedPageBreak/>
        <w:t xml:space="preserve">Panel 19A: </w:t>
      </w:r>
      <w:r w:rsidRPr="00447D8B">
        <w:t>Forums of Communication and Cultures</w:t>
      </w:r>
    </w:p>
    <w:p w14:paraId="5FA09D3D" w14:textId="77777777" w:rsidR="00447D8B" w:rsidRPr="00447D8B" w:rsidRDefault="00447D8B" w:rsidP="00447D8B"/>
    <w:p w14:paraId="3246F508" w14:textId="04A23B92" w:rsidR="0048524B" w:rsidRDefault="0048524B">
      <w:r w:rsidRPr="002E1C1E">
        <w:rPr>
          <w:b/>
          <w:noProof/>
        </w:rPr>
        <w:t>Christopher</w:t>
      </w:r>
      <w:r w:rsidRPr="008357DE">
        <w:rPr>
          <w:b/>
        </w:rPr>
        <w:t xml:space="preserve"> </w:t>
      </w:r>
      <w:r w:rsidRPr="002E1C1E">
        <w:rPr>
          <w:b/>
          <w:noProof/>
        </w:rPr>
        <w:t>Franklin</w:t>
      </w:r>
      <w:r w:rsidRPr="008357DE">
        <w:rPr>
          <w:b/>
        </w:rPr>
        <w:t xml:space="preserve"> </w:t>
      </w:r>
      <w:r>
        <w:rPr>
          <w:b/>
        </w:rPr>
        <w:t xml:space="preserve"> </w:t>
      </w:r>
      <w:r w:rsidRPr="008357DE">
        <w:t>(</w:t>
      </w:r>
      <w:r>
        <w:rPr>
          <w:noProof/>
        </w:rPr>
        <w:t>Monash University South Africa</w:t>
      </w:r>
      <w:r w:rsidR="00447D8B">
        <w:t>)</w:t>
      </w:r>
    </w:p>
    <w:p w14:paraId="6732FB3C" w14:textId="77777777" w:rsidR="0048524B" w:rsidRDefault="0048524B">
      <w:pPr>
        <w:rPr>
          <w:i/>
        </w:rPr>
      </w:pPr>
      <w:r w:rsidRPr="002E1C1E">
        <w:rPr>
          <w:i/>
          <w:noProof/>
        </w:rPr>
        <w:t>Rapid Urbanisation in the Developing World: Exploring slum formation and innovation potential</w:t>
      </w:r>
    </w:p>
    <w:p w14:paraId="29DD2A01" w14:textId="77777777" w:rsidR="0048524B" w:rsidRDefault="0048524B">
      <w:r>
        <w:rPr>
          <w:noProof/>
        </w:rPr>
        <w:t>For the first time in the history of humanity, more people live in urban areas than rural ones. There is no doubt that providing housing and services for billions of people across the world’s cities will be one of our greatest challenges yet. The vast majority of this rapid urbanisation is taking place within a developing-world context. The aim of this research is to investigate the positive and negative consequences of rapid urbanisation within the developing world. To fully explore the complexities and dynamics of this topic, a qualitative content analysis is undertaken, drawing from a variety of seminal texts, contemporary urban research and illustrative case studies. It is argued that massive slum formation is one of the most pressing challenges of rapid urbanisation, as slums face both environmental and social challenges. However, care must be taken to emphasise that slums remain home for many millions of people, and therefore deserve respect as such. Further analysis reveals that, despite the challenges they may face, urbanisation has unlocked massive innovation potential within developing-world cities, shifting global innovation dynamics to challenge the traditional ‘North–South’ flow of innovation. Although developing-world cities are often presented as a list of problems (and sometimes rightly so), this research highlights that they are also places of complexity and massive potential. The key to a sustainable future for the developing world therefore lies within understanding the growing city and how to manage it.</w:t>
      </w:r>
    </w:p>
    <w:p w14:paraId="24A12FD9" w14:textId="77777777" w:rsidR="0048524B" w:rsidRDefault="0048524B"/>
    <w:p w14:paraId="56B5563F" w14:textId="03A69283" w:rsidR="0048524B" w:rsidRDefault="0048524B">
      <w:r w:rsidRPr="002E1C1E">
        <w:rPr>
          <w:b/>
          <w:noProof/>
        </w:rPr>
        <w:t>Edie</w:t>
      </w:r>
      <w:r w:rsidRPr="008357DE">
        <w:rPr>
          <w:b/>
        </w:rPr>
        <w:t xml:space="preserve"> </w:t>
      </w:r>
      <w:r w:rsidRPr="002E1C1E">
        <w:rPr>
          <w:b/>
          <w:noProof/>
        </w:rPr>
        <w:t>Fisher</w:t>
      </w:r>
      <w:r w:rsidRPr="008357DE">
        <w:rPr>
          <w:b/>
        </w:rPr>
        <w:t xml:space="preserve"> </w:t>
      </w:r>
      <w:r>
        <w:rPr>
          <w:b/>
        </w:rPr>
        <w:t xml:space="preserve"> </w:t>
      </w:r>
      <w:r w:rsidRPr="008357DE">
        <w:t>(</w:t>
      </w:r>
      <w:r>
        <w:rPr>
          <w:noProof/>
        </w:rPr>
        <w:t>University of Leeds</w:t>
      </w:r>
      <w:r w:rsidR="00447D8B">
        <w:t>)</w:t>
      </w:r>
    </w:p>
    <w:p w14:paraId="05BA947E" w14:textId="77777777" w:rsidR="0048524B" w:rsidRDefault="0048524B">
      <w:pPr>
        <w:rPr>
          <w:i/>
        </w:rPr>
      </w:pPr>
      <w:r w:rsidRPr="002E1C1E">
        <w:rPr>
          <w:i/>
          <w:noProof/>
        </w:rPr>
        <w:t>Power Through Song? An empirical study of soft power influence within the Great Powers of Europe, through the lens of voting trends in the Eurovision Song Contest</w:t>
      </w:r>
    </w:p>
    <w:p w14:paraId="61DF64F0" w14:textId="77777777" w:rsidR="0048524B" w:rsidRDefault="0048524B">
      <w:r>
        <w:rPr>
          <w:noProof/>
        </w:rPr>
        <w:t>The Second World War and the Cold War saw the power structures and epicentres of the twentieth-century shift. As Russia grew in power, former Great Powers faltered as they attempted to adapt to new power structures. Joseph Nye’s theory of soft power encapsulated the move from hard military power to persuasive soft power. His theory focuses on three sources: culture, political values and foreign policy. However, while there is agreement on the sources, there is no consensus on how to measure soft power. This study posits that the Eurovision Song Contest is a viable measure of Nye’s theory. As a quasi-political and cultural phenomenon, the contest offers an interstate platform to exercise soft power. In this study, I used a negative binomial regression with random effects to test my theory that the contest can be used to measure soft power within the Great Powers of Europe. My findings were that major power status has a negative effect on points received. Furthermore, it was also found that countries with a lower Human Development Index score receive substantially more points, suggesting that Eastern countries – who, on average, have lower scores than the West – are more likely to receive more points. Combined with the theory of bloc voting, the results suggest that Eastern countries receive a higher vote share. Within the Great Powers, Russia can be seen to be exercising the most influence within the contest. These results, coupled with the historic mirroring, suggests that Russia is currently the strongest power in Europe.</w:t>
      </w:r>
    </w:p>
    <w:p w14:paraId="523029BF" w14:textId="77777777" w:rsidR="0048524B" w:rsidRDefault="0048524B"/>
    <w:p w14:paraId="225F3962" w14:textId="77777777" w:rsidR="00447D8B" w:rsidRDefault="00447D8B">
      <w:pPr>
        <w:rPr>
          <w:b/>
          <w:noProof/>
        </w:rPr>
      </w:pPr>
    </w:p>
    <w:p w14:paraId="1CBE6712" w14:textId="3DB9F7AB" w:rsidR="0048524B" w:rsidRDefault="0048524B">
      <w:r w:rsidRPr="002E1C1E">
        <w:rPr>
          <w:b/>
          <w:noProof/>
        </w:rPr>
        <w:lastRenderedPageBreak/>
        <w:t>Heidi</w:t>
      </w:r>
      <w:r w:rsidRPr="008357DE">
        <w:rPr>
          <w:b/>
        </w:rPr>
        <w:t xml:space="preserve"> </w:t>
      </w:r>
      <w:r w:rsidRPr="002E1C1E">
        <w:rPr>
          <w:b/>
          <w:noProof/>
        </w:rPr>
        <w:t>Powell-Biney</w:t>
      </w:r>
      <w:r w:rsidRPr="008357DE">
        <w:rPr>
          <w:b/>
        </w:rPr>
        <w:t xml:space="preserve"> </w:t>
      </w:r>
      <w:r>
        <w:rPr>
          <w:b/>
        </w:rPr>
        <w:t xml:space="preserve"> </w:t>
      </w:r>
      <w:r w:rsidRPr="008357DE">
        <w:t>(</w:t>
      </w:r>
      <w:r>
        <w:rPr>
          <w:noProof/>
        </w:rPr>
        <w:t>University of Leeds</w:t>
      </w:r>
      <w:r w:rsidR="00447D8B">
        <w:t>)</w:t>
      </w:r>
    </w:p>
    <w:p w14:paraId="4F84D97B" w14:textId="77777777" w:rsidR="0048524B" w:rsidRDefault="0048524B">
      <w:pPr>
        <w:rPr>
          <w:i/>
        </w:rPr>
      </w:pPr>
      <w:r w:rsidRPr="002E1C1E">
        <w:rPr>
          <w:i/>
          <w:noProof/>
        </w:rPr>
        <w:t>Does the Origin of a Verb (Germanic or Latin) Affect the Grammatical Acceptance of The Double Object Construction? A grammatical judgement task</w:t>
      </w:r>
    </w:p>
    <w:p w14:paraId="36982983" w14:textId="77777777" w:rsidR="0048524B" w:rsidRDefault="0048524B" w:rsidP="00AC7DBF">
      <w:pPr>
        <w:rPr>
          <w:noProof/>
        </w:rPr>
      </w:pPr>
      <w:r>
        <w:rPr>
          <w:noProof/>
        </w:rPr>
        <w:t>The Double Object Construction (DOC) (1) and its alternation (AltDOC) (2) arise when a verb takes two complements – a direct object (theme) and an indirect object (recipient) or its prepositional form (3).</w:t>
      </w:r>
    </w:p>
    <w:p w14:paraId="067D5AAA" w14:textId="77777777" w:rsidR="0048524B" w:rsidRDefault="0048524B" w:rsidP="00AC7DBF">
      <w:pPr>
        <w:rPr>
          <w:noProof/>
        </w:rPr>
      </w:pPr>
      <w:r>
        <w:rPr>
          <w:noProof/>
        </w:rPr>
        <w:t>The syntax of the DOC and its variation have been researched extensively (Stowell, 1981); however, there is little literature that identifies its acceptance and what affects the DOCs and the AltDOCs use, as the AltDOC is considered marginal (Gerwin, 2013). This research identifies a number of linguistic aspects that affect the use and the grammatical rating of the DOC; the effects of how Latin and German verbs form past tense, syllabic structure and the ordering of DPs. A grammaticality judgement task was administered to 24 balanced-sex (under)graduates who are native English. Participants were required to rate from 1 to 4 how grammatical declarative DOCs and AltDOCs sounded when preceded by introductory contexts. Mixed three-way ANOVAs were used to identify the effect of verb stem, verb frame and DP heaviness (pronominal or DP) on participants’ ratings.</w:t>
      </w:r>
    </w:p>
    <w:p w14:paraId="120BD798" w14:textId="77777777" w:rsidR="0048524B" w:rsidRDefault="0048524B" w:rsidP="00AC7DBF">
      <w:pPr>
        <w:rPr>
          <w:noProof/>
        </w:rPr>
      </w:pPr>
      <w:r>
        <w:rPr>
          <w:noProof/>
        </w:rPr>
        <w:t>The results show that DP order had an effect on the grammatical judgement but was a result of verb frame rather than verb stem. The result of verb stem was probably moderated by the number of syllables; Germanic-derived verbs rated higher than those of Latin in the DOC. The findings have particular importance as variations of the DOC are indeed used as productive constructions in British English.</w:t>
      </w:r>
    </w:p>
    <w:p w14:paraId="6B5A9FA8" w14:textId="77777777" w:rsidR="0048524B" w:rsidRDefault="0048524B" w:rsidP="00447D8B">
      <w:pPr>
        <w:pStyle w:val="NoSpacing"/>
        <w:rPr>
          <w:noProof/>
        </w:rPr>
      </w:pPr>
      <w:r>
        <w:rPr>
          <w:noProof/>
        </w:rPr>
        <w:t>(1) He gave me it</w:t>
      </w:r>
    </w:p>
    <w:p w14:paraId="0EABEE24" w14:textId="77777777" w:rsidR="0048524B" w:rsidRDefault="0048524B" w:rsidP="00447D8B">
      <w:pPr>
        <w:pStyle w:val="NoSpacing"/>
        <w:rPr>
          <w:noProof/>
        </w:rPr>
      </w:pPr>
      <w:r>
        <w:rPr>
          <w:noProof/>
        </w:rPr>
        <w:t>(2) He gave it me</w:t>
      </w:r>
    </w:p>
    <w:p w14:paraId="74DB8329" w14:textId="77777777" w:rsidR="0048524B" w:rsidRDefault="0048524B">
      <w:r>
        <w:rPr>
          <w:noProof/>
        </w:rPr>
        <w:t>(3) He gave it to me</w:t>
      </w:r>
    </w:p>
    <w:p w14:paraId="2443C2EB" w14:textId="77777777" w:rsidR="0048524B" w:rsidRDefault="0048524B"/>
    <w:p w14:paraId="56997122" w14:textId="2947ACB9" w:rsidR="0048524B" w:rsidRDefault="0048524B">
      <w:r w:rsidRPr="002E1C1E">
        <w:rPr>
          <w:b/>
          <w:noProof/>
        </w:rPr>
        <w:t>Rebecca</w:t>
      </w:r>
      <w:r w:rsidRPr="008357DE">
        <w:rPr>
          <w:b/>
        </w:rPr>
        <w:t xml:space="preserve"> </w:t>
      </w:r>
      <w:r w:rsidRPr="002E1C1E">
        <w:rPr>
          <w:b/>
          <w:noProof/>
        </w:rPr>
        <w:t>Myers</w:t>
      </w:r>
      <w:r w:rsidRPr="008357DE">
        <w:rPr>
          <w:b/>
        </w:rPr>
        <w:t xml:space="preserve"> </w:t>
      </w:r>
      <w:r>
        <w:rPr>
          <w:b/>
        </w:rPr>
        <w:t xml:space="preserve"> </w:t>
      </w:r>
      <w:r w:rsidRPr="008357DE">
        <w:t>(</w:t>
      </w:r>
      <w:r>
        <w:rPr>
          <w:noProof/>
        </w:rPr>
        <w:t>University of Warwick</w:t>
      </w:r>
      <w:r w:rsidR="00447D8B">
        <w:t>)</w:t>
      </w:r>
    </w:p>
    <w:p w14:paraId="5796154B" w14:textId="77777777" w:rsidR="0048524B" w:rsidRDefault="0048524B">
      <w:pPr>
        <w:rPr>
          <w:i/>
        </w:rPr>
      </w:pPr>
      <w:r w:rsidRPr="002E1C1E">
        <w:rPr>
          <w:i/>
          <w:noProof/>
        </w:rPr>
        <w:t>Personalising Mathematics: Understanding the impact of personality on mathematics communication</w:t>
      </w:r>
    </w:p>
    <w:p w14:paraId="33BBC653" w14:textId="77777777" w:rsidR="0048524B" w:rsidRDefault="0048524B">
      <w:r>
        <w:rPr>
          <w:noProof/>
        </w:rPr>
        <w:t>The project looks to investigate the relationship between personality, attitude towards mathematics, and teaching and learning preferences. By considering these individual differences in both high and low attitude samples the aim is to gain insight into how to make mathematics more accessible across different disciplines in higher education. Our correlational study consists of a sample of 257 participants from an online questionnaire with three parts: a 30 item ‘Big Five’ personality test, a revised subset of the Fennema-Sherman attitude scales, and teaching and learning preferences. This includes type of learner, ranking of methods, independence of study and preference for the flipped classroom. The results suggested many significant trends in the data; for example, conscientiousness positively correlates with attitude to mathematics in the male sample and both the high and low attitude samples. This relationship was only significant in the female sample when we controlled for the type of learner. While in general, conscientiousness was highest for visual learners, who also had a high attitude score, female visual learners had a negative attitude towards mathematics. I will be discussing this in the talk alongside some of the other results from this study with a consideration of how these trends may contribute to our understanding of what leads to a more positive attitude towards mathematics.</w:t>
      </w:r>
    </w:p>
    <w:p w14:paraId="45B41D18" w14:textId="1CF2FABD" w:rsidR="0048524B" w:rsidRDefault="00447D8B" w:rsidP="00447D8B">
      <w:pPr>
        <w:pStyle w:val="Heading1"/>
      </w:pPr>
      <w:r>
        <w:lastRenderedPageBreak/>
        <w:t xml:space="preserve">Panel 19B: </w:t>
      </w:r>
      <w:r w:rsidRPr="00447D8B">
        <w:t>Models, Functions and Pathways</w:t>
      </w:r>
    </w:p>
    <w:p w14:paraId="3089EF24" w14:textId="77777777" w:rsidR="00447D8B" w:rsidRPr="00447D8B" w:rsidRDefault="00447D8B" w:rsidP="00447D8B"/>
    <w:p w14:paraId="29CCEB60" w14:textId="662F13C9" w:rsidR="0048524B" w:rsidRDefault="0048524B">
      <w:r w:rsidRPr="002E1C1E">
        <w:rPr>
          <w:b/>
          <w:noProof/>
        </w:rPr>
        <w:t>Carolyn</w:t>
      </w:r>
      <w:r w:rsidRPr="008357DE">
        <w:rPr>
          <w:b/>
        </w:rPr>
        <w:t xml:space="preserve"> </w:t>
      </w:r>
      <w:r w:rsidRPr="002E1C1E">
        <w:rPr>
          <w:b/>
          <w:noProof/>
        </w:rPr>
        <w:t>McGrail</w:t>
      </w:r>
      <w:r w:rsidRPr="008357DE">
        <w:rPr>
          <w:b/>
        </w:rPr>
        <w:t xml:space="preserve"> </w:t>
      </w:r>
      <w:r>
        <w:rPr>
          <w:b/>
        </w:rPr>
        <w:t xml:space="preserve"> </w:t>
      </w:r>
      <w:r w:rsidRPr="008357DE">
        <w:t>(</w:t>
      </w:r>
      <w:r>
        <w:rPr>
          <w:noProof/>
        </w:rPr>
        <w:t>Baruch College, CUNY</w:t>
      </w:r>
      <w:r w:rsidR="00447D8B">
        <w:t>)</w:t>
      </w:r>
    </w:p>
    <w:p w14:paraId="356E8A8E" w14:textId="77777777" w:rsidR="0048524B" w:rsidRDefault="0048524B">
      <w:pPr>
        <w:rPr>
          <w:i/>
        </w:rPr>
      </w:pPr>
      <w:r w:rsidRPr="002E1C1E">
        <w:rPr>
          <w:i/>
          <w:noProof/>
        </w:rPr>
        <w:t>The Hormone Methoprene Activates a Pathway Involved in Blood Cell Development and Immunity in Drosophila Melanogaster</w:t>
      </w:r>
    </w:p>
    <w:p w14:paraId="6CC64AC4" w14:textId="77777777" w:rsidR="0048524B" w:rsidRDefault="0048524B">
      <w:r>
        <w:rPr>
          <w:noProof/>
        </w:rPr>
        <w:t>The JAK/STAT pathway is highly conserved among all animals and is responsible for the development of blood cells and adult immunity. JAK/STAT mutations are responsible for blood cell cancers and autoimmune disorders in humans. Methoprene is a juvenile hormone mimic that prevents metamorphosis in Drosophila. It can be used as a pesticide and is also an environmental toxin. The activity of two genes in the Drosophila JAK/STAT pathway, STAT92 and DOME, is measured after methoprene exposure by using green fluorescent protein (GFP) reporters. When these target genes are activated, there is a green fluorescence in the location of the STAT92 and DOME activity that reflects the expression of the JAK/STAT pathway. For both genes, Drosophila larvae were separated by sex and imaged in different developmental stages as signalling naturally increases over time. Five males and five females from each stage were imaged from ethanol-treated larvae, methoprene in ethanol-treated larvae and a control group with no treatment. In both sexes and at all stages of larval development, methoprene-treated larvae displayed higher expression in the muscles for STAT92 and in the fat body for DOME than the ethanol-treated and control larvae. Lamellocytes, blood cells formed only upon a massive infection, are seen in a fluorescent-tagged line after methoprene treatment. This implies that methoprene induces an immunological response. The JAK/STAT pathway signals lamellocyte formation which without an infection, encapsulates its own tissue. This autoimmune reaction may be relevant to environmental exposures and mutations in the human JAK/STAT pathway that result in autoimmune disorders. Further tests identifying the location of the JAK/STAT pathway that is involved in lamellocyte formation will be investigated.</w:t>
      </w:r>
    </w:p>
    <w:p w14:paraId="0E2F3199" w14:textId="77777777" w:rsidR="0048524B" w:rsidRDefault="0048524B"/>
    <w:p w14:paraId="438E7FBE" w14:textId="07961E8F" w:rsidR="0048524B" w:rsidRDefault="0048524B">
      <w:r w:rsidRPr="002E1C1E">
        <w:rPr>
          <w:b/>
          <w:noProof/>
        </w:rPr>
        <w:t>Ana</w:t>
      </w:r>
      <w:r w:rsidRPr="008357DE">
        <w:rPr>
          <w:b/>
        </w:rPr>
        <w:t xml:space="preserve"> </w:t>
      </w:r>
      <w:r w:rsidRPr="002E1C1E">
        <w:rPr>
          <w:b/>
          <w:noProof/>
        </w:rPr>
        <w:t>Font Hernandez</w:t>
      </w:r>
      <w:r w:rsidRPr="008357DE">
        <w:rPr>
          <w:b/>
        </w:rPr>
        <w:t xml:space="preserve"> </w:t>
      </w:r>
      <w:r>
        <w:rPr>
          <w:b/>
        </w:rPr>
        <w:t xml:space="preserve"> </w:t>
      </w:r>
      <w:r w:rsidRPr="008357DE">
        <w:t>(</w:t>
      </w:r>
      <w:r>
        <w:rPr>
          <w:noProof/>
        </w:rPr>
        <w:t>Baruch College, CUNY</w:t>
      </w:r>
      <w:r w:rsidR="00447D8B">
        <w:t>)</w:t>
      </w:r>
    </w:p>
    <w:p w14:paraId="4CC7689A" w14:textId="77777777" w:rsidR="0048524B" w:rsidRDefault="0048524B">
      <w:pPr>
        <w:rPr>
          <w:i/>
        </w:rPr>
      </w:pPr>
      <w:r w:rsidRPr="002E1C1E">
        <w:rPr>
          <w:i/>
          <w:noProof/>
        </w:rPr>
        <w:t>Assistive Utensil: A spork for hand tremors and spatial awareness</w:t>
      </w:r>
    </w:p>
    <w:p w14:paraId="1904A7DA" w14:textId="77777777" w:rsidR="0048524B" w:rsidRDefault="0048524B" w:rsidP="00AC7DBF">
      <w:pPr>
        <w:rPr>
          <w:noProof/>
        </w:rPr>
      </w:pPr>
      <w:r>
        <w:rPr>
          <w:noProof/>
        </w:rPr>
        <w:t>3D printing has transformed various fields by creating objects quickly and affordably. This technology makes life and functioning easier for individuals. This can include motor functions such as walking, hand movements and communication.</w:t>
      </w:r>
    </w:p>
    <w:p w14:paraId="62A809BF" w14:textId="77777777" w:rsidR="0048524B" w:rsidRDefault="0048524B" w:rsidP="00AC7DBF">
      <w:pPr>
        <w:rPr>
          <w:noProof/>
        </w:rPr>
      </w:pPr>
      <w:r>
        <w:rPr>
          <w:noProof/>
        </w:rPr>
        <w:t>Tremors are an involuntary, rhythmic muscle contraction leading to shaking movements. Hand tremors can make the everyday activity of eating a challenge. This uncontrollable limb shaking affects a person’s nutrition and psychological health. Frustration and a social withdrawal due to the embarrassment of eating in the company of others are other negative consequences.</w:t>
      </w:r>
    </w:p>
    <w:p w14:paraId="638ABD06" w14:textId="77777777" w:rsidR="0048524B" w:rsidRDefault="0048524B" w:rsidP="00AC7DBF">
      <w:pPr>
        <w:rPr>
          <w:noProof/>
        </w:rPr>
      </w:pPr>
      <w:r>
        <w:rPr>
          <w:noProof/>
        </w:rPr>
        <w:t>This research presents a 3D-printed solution for hand tremors and special awareness. Our spork is an assistive device designed and 3D-printed for patients suffering from scleroderma, systemic sclerosis, Parkinson’s, multiple sclerosis, substance abuse withdrawal, etc. It will aid with balance, self-reliance and the mental wellbeing of individuals.</w:t>
      </w:r>
    </w:p>
    <w:p w14:paraId="5C828ACF" w14:textId="77777777" w:rsidR="0048524B" w:rsidRDefault="0048524B" w:rsidP="00AC7DBF">
      <w:pPr>
        <w:rPr>
          <w:noProof/>
        </w:rPr>
      </w:pPr>
      <w:r>
        <w:rPr>
          <w:noProof/>
        </w:rPr>
        <w:t>The scale-based handle will act as a counterweight to offset the contents on the other end and reduce shakiness. The larger grip allows an easy and comfortable hold. The product will be 3D-printed for a customisable fit and at an affordable price. Lastly, the product will include a haptic feedback sensor to assist the visually impaired in locating food contents on a plate.</w:t>
      </w:r>
    </w:p>
    <w:p w14:paraId="17141C2A" w14:textId="77777777" w:rsidR="0048524B" w:rsidRDefault="0048524B">
      <w:r>
        <w:rPr>
          <w:noProof/>
        </w:rPr>
        <w:lastRenderedPageBreak/>
        <w:t>The technology already exists to assist those with tremors. However, none of the top six spoons on the market has yet combined the best qualities of each other. With this research, with have proved it is possible to build a spoon that will help the approximately 7 million people in the USA who have tremors.</w:t>
      </w:r>
    </w:p>
    <w:p w14:paraId="79893F7C" w14:textId="77777777" w:rsidR="0048524B" w:rsidRDefault="0048524B"/>
    <w:p w14:paraId="21557C26" w14:textId="30F70315" w:rsidR="0048524B" w:rsidRDefault="0048524B">
      <w:r w:rsidRPr="002E1C1E">
        <w:rPr>
          <w:b/>
          <w:noProof/>
        </w:rPr>
        <w:t>Huang</w:t>
      </w:r>
      <w:r w:rsidRPr="008357DE">
        <w:rPr>
          <w:b/>
        </w:rPr>
        <w:t xml:space="preserve"> </w:t>
      </w:r>
      <w:r w:rsidRPr="002E1C1E">
        <w:rPr>
          <w:b/>
          <w:noProof/>
        </w:rPr>
        <w:t>Shimeng</w:t>
      </w:r>
      <w:r w:rsidRPr="008357DE">
        <w:rPr>
          <w:b/>
        </w:rPr>
        <w:t xml:space="preserve"> </w:t>
      </w:r>
      <w:r>
        <w:rPr>
          <w:b/>
        </w:rPr>
        <w:t xml:space="preserve"> </w:t>
      </w:r>
      <w:r w:rsidRPr="008357DE">
        <w:t>(</w:t>
      </w:r>
      <w:r>
        <w:rPr>
          <w:noProof/>
        </w:rPr>
        <w:t>NTU</w:t>
      </w:r>
      <w:r w:rsidR="00447D8B">
        <w:t>)</w:t>
      </w:r>
    </w:p>
    <w:p w14:paraId="67887A45" w14:textId="77777777" w:rsidR="0048524B" w:rsidRDefault="0048524B">
      <w:pPr>
        <w:rPr>
          <w:i/>
        </w:rPr>
      </w:pPr>
      <w:r w:rsidRPr="002E1C1E">
        <w:rPr>
          <w:i/>
          <w:noProof/>
        </w:rPr>
        <w:t>Two-Part Model with Three-Population Covariate Shift</w:t>
      </w:r>
    </w:p>
    <w:p w14:paraId="79C7994E" w14:textId="77777777" w:rsidR="0048524B" w:rsidRDefault="0048524B" w:rsidP="00AC7DBF">
      <w:pPr>
        <w:rPr>
          <w:noProof/>
        </w:rPr>
      </w:pPr>
      <w:r>
        <w:rPr>
          <w:noProof/>
        </w:rPr>
        <w:t>An accurate predictive modelling is extremely important for insurance companies to assess the risk in the new markets that they intend to enter. However, the loss-experience data in the new market are usually unavailable while they have their own loss-experience data of existing policyholders in the current markets. Moreover, a population’s individual medical expenditure is usually heavily zero-inflated, leading to a semi-continuous distribution with a large number of zeros and a continuous distribution for the positive expenditures.</w:t>
      </w:r>
    </w:p>
    <w:p w14:paraId="79514948" w14:textId="77777777" w:rsidR="0048524B" w:rsidRDefault="0048524B" w:rsidP="00AC7DBF">
      <w:pPr>
        <w:rPr>
          <w:noProof/>
        </w:rPr>
      </w:pPr>
      <w:r>
        <w:rPr>
          <w:noProof/>
        </w:rPr>
        <w:t>In order to address these problems, a two-part regression model with three-population covariate shift is applied. A two-part model includes a model for the binary response variable and a model for the outcome variable conditioned on the binary response. The three-population covariate shift known in the machine-learning literature allows estimation of the health cost in the new market based on the medical expenditure in the current existing market after adjusting for demographic differences between the current and new market.</w:t>
      </w:r>
    </w:p>
    <w:p w14:paraId="3E754A6A" w14:textId="77777777" w:rsidR="0048524B" w:rsidRDefault="0048524B" w:rsidP="00AC7DBF">
      <w:pPr>
        <w:rPr>
          <w:noProof/>
        </w:rPr>
      </w:pPr>
      <w:r>
        <w:rPr>
          <w:noProof/>
        </w:rPr>
        <w:t>In this paper, we use the loss-experience data of 10,000 existing policyholders in the Japanese market (current market) to estimate the medical expenditure of the Singapore market (new market) based on two predictors, age and gender. In the two-part model, a logistic model is used for the binary response variable and a lognormal model is used for the continuous positive expenditure. To apply a three-population covariate shift, the data are divided into eight groups based on gender and age groups and are adjusted based on demographic differences between the Singaporean and Japanese populations.</w:t>
      </w:r>
    </w:p>
    <w:p w14:paraId="34B496B5" w14:textId="77777777" w:rsidR="0048524B" w:rsidRDefault="0048524B">
      <w:r>
        <w:rPr>
          <w:noProof/>
        </w:rPr>
        <w:t>A higher and lower R-squares of the proposed model suggests that the two-part model with a three-population shift is a strong predictive model compared with the model without the covariate shift. However, only two predictors are involved in this study due to a lack of demographic data. More extensive research will be required to investigate the effectiveness of the proposed model with three or more predictors.</w:t>
      </w:r>
    </w:p>
    <w:p w14:paraId="0F065B33" w14:textId="77777777" w:rsidR="0048524B" w:rsidRDefault="0048524B"/>
    <w:p w14:paraId="01E564E9" w14:textId="5BABCE5E" w:rsidR="0048524B" w:rsidRDefault="0048524B">
      <w:r w:rsidRPr="002E1C1E">
        <w:rPr>
          <w:b/>
          <w:noProof/>
        </w:rPr>
        <w:t>Andrew</w:t>
      </w:r>
      <w:r w:rsidRPr="008357DE">
        <w:rPr>
          <w:b/>
        </w:rPr>
        <w:t xml:space="preserve"> </w:t>
      </w:r>
      <w:r w:rsidRPr="002E1C1E">
        <w:rPr>
          <w:b/>
          <w:noProof/>
        </w:rPr>
        <w:t>Darlington</w:t>
      </w:r>
      <w:r w:rsidRPr="008357DE">
        <w:rPr>
          <w:b/>
        </w:rPr>
        <w:t xml:space="preserve"> </w:t>
      </w:r>
      <w:r>
        <w:rPr>
          <w:b/>
        </w:rPr>
        <w:t xml:space="preserve"> </w:t>
      </w:r>
      <w:r w:rsidRPr="008357DE">
        <w:t>(</w:t>
      </w:r>
      <w:r>
        <w:rPr>
          <w:noProof/>
        </w:rPr>
        <w:t>University of Warwick</w:t>
      </w:r>
      <w:r w:rsidR="00447D8B">
        <w:t>)</w:t>
      </w:r>
    </w:p>
    <w:p w14:paraId="585CE6A8" w14:textId="77777777" w:rsidR="0048524B" w:rsidRDefault="0048524B">
      <w:pPr>
        <w:rPr>
          <w:i/>
        </w:rPr>
      </w:pPr>
      <w:r w:rsidRPr="002E1C1E">
        <w:rPr>
          <w:i/>
          <w:noProof/>
        </w:rPr>
        <w:t>The Number of Ways of Writing Integers as the Sum of 2n Squares</w:t>
      </w:r>
    </w:p>
    <w:p w14:paraId="7F0994B8" w14:textId="77777777" w:rsidR="0048524B" w:rsidRDefault="0048524B" w:rsidP="00AC7DBF">
      <w:pPr>
        <w:rPr>
          <w:noProof/>
        </w:rPr>
      </w:pPr>
      <w:r>
        <w:rPr>
          <w:noProof/>
        </w:rPr>
        <w:t>This study will delve deep into the realms of number theory, and will explore some very powerful techniques used by mathematicians to crack many problems – from those that are obviously difficult, to those which appear simple, but are deceptively hard, such as the problem of counting the number of ways we can write integers (whole numbers) as the sum of an even number of square numbers.</w:t>
      </w:r>
    </w:p>
    <w:p w14:paraId="2D9B57F2" w14:textId="77777777" w:rsidR="0048524B" w:rsidRDefault="0048524B" w:rsidP="00AC7DBF">
      <w:pPr>
        <w:rPr>
          <w:noProof/>
        </w:rPr>
      </w:pPr>
      <w:r>
        <w:rPr>
          <w:noProof/>
        </w:rPr>
        <w:t xml:space="preserve">Modular forms are at the forefront of a lot of current mathematical research and have been involved in proving some of the most famous results, such as Fermat’s Last Theorem. It is for this reason that I </w:t>
      </w:r>
      <w:r>
        <w:rPr>
          <w:noProof/>
        </w:rPr>
        <w:lastRenderedPageBreak/>
        <w:t>believe my project has great relevance given its huge need for such a technique, in addition to collating other methods from across the scope of mathematics to produce a very elegant result.</w:t>
      </w:r>
    </w:p>
    <w:p w14:paraId="3B89B78E" w14:textId="77777777" w:rsidR="0048524B" w:rsidRDefault="0048524B" w:rsidP="00AC7DBF">
      <w:pPr>
        <w:rPr>
          <w:noProof/>
        </w:rPr>
      </w:pPr>
      <w:r>
        <w:rPr>
          <w:noProof/>
        </w:rPr>
        <w:t>In this study, I will outline briefly the methods used in my research to tackle such a problem, such as the study of some basic modular forms leading to mathematical expressions that can then be used to interpret some modular forms to arrive at the desired result; following the work of J. P. Serre in the process, along with other established figures.</w:t>
      </w:r>
    </w:p>
    <w:p w14:paraId="2D5397DB" w14:textId="77777777" w:rsidR="0048524B" w:rsidRDefault="0048524B">
      <w:r>
        <w:rPr>
          <w:noProof/>
        </w:rPr>
        <w:t>Although number theory typically comes with a stigma of inaccessibility about it, its results often distil down to very relevant applied maths and physics; indeed I believe that it can be accessible to all.</w:t>
      </w:r>
    </w:p>
    <w:p w14:paraId="7AF57B28" w14:textId="77777777" w:rsidR="0048524B" w:rsidRDefault="0048524B"/>
    <w:p w14:paraId="1BC540FD" w14:textId="77777777" w:rsidR="00FA0650" w:rsidRDefault="00FA0650">
      <w:pPr>
        <w:rPr>
          <w:b/>
          <w:noProof/>
        </w:rPr>
      </w:pPr>
      <w:r>
        <w:rPr>
          <w:b/>
          <w:noProof/>
        </w:rPr>
        <w:br w:type="page"/>
      </w:r>
    </w:p>
    <w:p w14:paraId="2FF4393B" w14:textId="5E407F33" w:rsidR="00FA0650" w:rsidRDefault="00FA0650" w:rsidP="00FA0650">
      <w:pPr>
        <w:pStyle w:val="Heading1"/>
      </w:pPr>
      <w:r w:rsidRPr="00FA0650">
        <w:lastRenderedPageBreak/>
        <w:t>Panel 20A: Interactions and Identities</w:t>
      </w:r>
    </w:p>
    <w:p w14:paraId="6B5CA2CA" w14:textId="77777777" w:rsidR="00FA0650" w:rsidRPr="00FA0650" w:rsidRDefault="00FA0650" w:rsidP="00FA0650"/>
    <w:p w14:paraId="36829C20" w14:textId="6F0D81AC" w:rsidR="0048524B" w:rsidRDefault="0048524B">
      <w:r w:rsidRPr="002E1C1E">
        <w:rPr>
          <w:b/>
          <w:noProof/>
        </w:rPr>
        <w:t>Laura</w:t>
      </w:r>
      <w:r w:rsidRPr="008357DE">
        <w:rPr>
          <w:b/>
        </w:rPr>
        <w:t xml:space="preserve"> </w:t>
      </w:r>
      <w:r w:rsidRPr="002E1C1E">
        <w:rPr>
          <w:b/>
          <w:noProof/>
        </w:rPr>
        <w:t>Wallace</w:t>
      </w:r>
      <w:r w:rsidRPr="008357DE">
        <w:rPr>
          <w:b/>
        </w:rPr>
        <w:t xml:space="preserve"> </w:t>
      </w:r>
      <w:r>
        <w:rPr>
          <w:b/>
        </w:rPr>
        <w:t xml:space="preserve"> </w:t>
      </w:r>
      <w:r w:rsidRPr="008357DE">
        <w:t>(</w:t>
      </w:r>
      <w:r>
        <w:rPr>
          <w:noProof/>
        </w:rPr>
        <w:t>University of Leeds</w:t>
      </w:r>
      <w:r w:rsidR="00FA0650">
        <w:t>)</w:t>
      </w:r>
    </w:p>
    <w:p w14:paraId="4BAC555C" w14:textId="77777777" w:rsidR="0048524B" w:rsidRDefault="0048524B">
      <w:pPr>
        <w:rPr>
          <w:i/>
        </w:rPr>
      </w:pPr>
      <w:r w:rsidRPr="002E1C1E">
        <w:rPr>
          <w:i/>
          <w:noProof/>
        </w:rPr>
        <w:t>Exploring the Irish Catholic Identity and its Influence on Adolescent Female Sexuality</w:t>
      </w:r>
    </w:p>
    <w:p w14:paraId="2D538D2E" w14:textId="77777777" w:rsidR="0048524B" w:rsidRDefault="0048524B">
      <w:r>
        <w:rPr>
          <w:noProof/>
        </w:rPr>
        <w:t>More than one in five countries have an official state religion, and often, many make the assumption that Catholicism is the state religion of Ireland. Despite the Irish constitution stating on its first page ‘In the Name of the Most Holy Trinity, from Whom is all authority and to Whom, as our final end, all actions both of men and States must be referred...’ (Bunreacht na hÉireann, 1945), Ireland is officially a secular country. This paper seeks to explore the notion that, as an Irish citizen, one’s Catholic identity is often assumed and that within this assumption there are implications for those attending Catholic institutions. In particular, this paper will examine the relatively under-explored area of Irish sexuality within the Catholic-dominated school systems and how the ‘baptism barrier’ can create an assumed Catholic identity for Irish adolescents. In turn, the Catholic identity then works to influence the discourses towards a heteronormative framework which ‘others’ female sexuality and desire. The existing bodies of work carried out on Irish sexuality and Catholicism have been predominantly written by Tom Inglis, but very little exists outside of these studies. The originality in this study’s approach is that, by examining the Catholic identity as it intersects with Irish social values that relate to sexuality, it draws attention to Foucauldian theories of power-knowledge. As a result, the power-knowledge imbalance becomes problematic in the context of female adolescent sexuality. This paper seeks to contribute to the debate that Ireland needs to drastically overhaul current sex education.</w:t>
      </w:r>
    </w:p>
    <w:p w14:paraId="795BE09E" w14:textId="77777777" w:rsidR="0048524B" w:rsidRDefault="0048524B"/>
    <w:p w14:paraId="54C51578" w14:textId="22D74458" w:rsidR="0048524B" w:rsidRDefault="0048524B">
      <w:r w:rsidRPr="002E1C1E">
        <w:rPr>
          <w:b/>
          <w:noProof/>
        </w:rPr>
        <w:t>Nicholas</w:t>
      </w:r>
      <w:r w:rsidRPr="008357DE">
        <w:rPr>
          <w:b/>
        </w:rPr>
        <w:t xml:space="preserve"> </w:t>
      </w:r>
      <w:r w:rsidRPr="002E1C1E">
        <w:rPr>
          <w:b/>
          <w:noProof/>
        </w:rPr>
        <w:t>Gardner</w:t>
      </w:r>
      <w:r w:rsidRPr="008357DE">
        <w:rPr>
          <w:b/>
        </w:rPr>
        <w:t xml:space="preserve"> </w:t>
      </w:r>
      <w:r>
        <w:rPr>
          <w:b/>
        </w:rPr>
        <w:t xml:space="preserve"> </w:t>
      </w:r>
      <w:r w:rsidRPr="008357DE">
        <w:t>(</w:t>
      </w:r>
      <w:r>
        <w:rPr>
          <w:noProof/>
        </w:rPr>
        <w:t>University of Leeds</w:t>
      </w:r>
      <w:r w:rsidR="00FA0650">
        <w:t>)</w:t>
      </w:r>
    </w:p>
    <w:p w14:paraId="27D5710A" w14:textId="77777777" w:rsidR="0048524B" w:rsidRDefault="0048524B">
      <w:pPr>
        <w:rPr>
          <w:i/>
        </w:rPr>
      </w:pPr>
      <w:r w:rsidRPr="002E1C1E">
        <w:rPr>
          <w:i/>
          <w:noProof/>
        </w:rPr>
        <w:t>The Role of Transient Receptor Potential Melastatin 4 (TRPM4) in the Electrical and Mechanical Activity of the Heart</w:t>
      </w:r>
    </w:p>
    <w:p w14:paraId="425E5B4F" w14:textId="77777777" w:rsidR="0048524B" w:rsidRDefault="0048524B">
      <w:r>
        <w:rPr>
          <w:noProof/>
        </w:rPr>
        <w:t>For the first time, the pharmacological inhibition of transient receptor potential melastatin 4 (TRPM4) is shown in whole Langendorff rat hearts to affect both the mechanical and electrical activity of the heart. TRPM4 is a non-selective calcium-activated cation channel located in both electrical and contractile cardiac tissue in species including humans, rats and mice. The function of the channel is not well understood; however, it is implicated in conduction diseases such as Brugada syndrome. The aim of this study is to better characterise the role of TRPM4 in cardiac activity, particularly how it affects the mechanical component of cardiac activity. In whole Langendorff rat hearts (n=8), left ventricular developed pressure was measured and an electrocardiogram recorded the results. It was found that perfusion of physiological saline solution with the selective TRPM4 inhibitor 9-phenanthrol caused significant decreases in the average heart rate (251.6 ± 16.3 to 181.2 ± 19.7 bpm; p&lt;0.05), and significant increases in end-diastolic pressure (31.0 ± 5.0 to 53.4 ± 9.3 mmHg; p&lt;0.05) and decreased the rate of relaxation (-1497.8 ± 206.2 to -802.0 ± 71.0 mmHg/s; p&lt;0.05). These results support the hypothesis that TRPM4 acts as an inotropic brake in cardiomyocytes by reducing the driving force for calcium influx. In conductive cells regulating heart rate, TRPM4 inhibition appears to shallow the diastolic depolarisation gradient, reducing heart rate. In cardiomyocytes, TRPM4 inhibition appears to decrease absolute pressure transients via the gradual accumulation of [Ca2+]i, causing muscle rigour associated with increases in end-diastolic pressure.</w:t>
      </w:r>
    </w:p>
    <w:p w14:paraId="38E1B4E6" w14:textId="77777777" w:rsidR="0048524B" w:rsidRDefault="0048524B"/>
    <w:p w14:paraId="45E5B52B" w14:textId="51FF2499" w:rsidR="0048524B" w:rsidRDefault="0048524B">
      <w:r w:rsidRPr="002E1C1E">
        <w:rPr>
          <w:b/>
          <w:noProof/>
        </w:rPr>
        <w:t>Helena</w:t>
      </w:r>
      <w:r w:rsidRPr="008357DE">
        <w:rPr>
          <w:b/>
        </w:rPr>
        <w:t xml:space="preserve"> </w:t>
      </w:r>
      <w:r w:rsidRPr="002E1C1E">
        <w:rPr>
          <w:b/>
          <w:noProof/>
        </w:rPr>
        <w:t>Wall</w:t>
      </w:r>
      <w:r w:rsidRPr="008357DE">
        <w:rPr>
          <w:b/>
        </w:rPr>
        <w:t xml:space="preserve"> </w:t>
      </w:r>
      <w:r>
        <w:rPr>
          <w:b/>
        </w:rPr>
        <w:t xml:space="preserve"> </w:t>
      </w:r>
      <w:r w:rsidRPr="008357DE">
        <w:t>(</w:t>
      </w:r>
      <w:r>
        <w:rPr>
          <w:noProof/>
        </w:rPr>
        <w:t>University of Warwick</w:t>
      </w:r>
      <w:r w:rsidR="00FA0650">
        <w:t>)</w:t>
      </w:r>
    </w:p>
    <w:p w14:paraId="186415C1" w14:textId="77777777" w:rsidR="0048524B" w:rsidRDefault="0048524B">
      <w:pPr>
        <w:rPr>
          <w:i/>
        </w:rPr>
      </w:pPr>
      <w:r w:rsidRPr="002E1C1E">
        <w:rPr>
          <w:i/>
          <w:noProof/>
        </w:rPr>
        <w:t>How do University Students use Mobile Technology in Face-to-Face Social Interaction in Informal Group Learning?</w:t>
      </w:r>
    </w:p>
    <w:p w14:paraId="52A34C80" w14:textId="77777777" w:rsidR="0048524B" w:rsidRDefault="0048524B" w:rsidP="00AC7DBF">
      <w:pPr>
        <w:rPr>
          <w:noProof/>
        </w:rPr>
      </w:pPr>
      <w:r>
        <w:rPr>
          <w:noProof/>
        </w:rPr>
        <w:t>The potential of technology use to facilitate collaboration in informal learning is recognised by institutions across the world, including the Higher Education Academy and the Australasian Society for Computers in Learning in Tertiary Education. Improving our understanding of how mobile devices are used to enrich face-to-face interaction in informal group learning will aid us in identifying ways to improve the efficacy and efficiency of technology use in this context.</w:t>
      </w:r>
    </w:p>
    <w:p w14:paraId="5DBABDF7" w14:textId="77777777" w:rsidR="0048524B" w:rsidRDefault="0048524B">
      <w:r>
        <w:rPr>
          <w:noProof/>
        </w:rPr>
        <w:t>I will conduct observations of how students conducting informal group learning tasks use mobile devices within their interactions, specifically their face-to-face interactions, rather than computer-mediated interactions between parties. I will collect data using field notes and audio-visual recordings. I will observe how mobile device use influences aspects of their verbal and non-verbal communication, including the meanings conveyed, in order to understand how it both contributes to and detracts from the ‘normal’ dynamics of the interaction. Drawing on my previous research into mobile device use in face-to-face interaction, I anticipate that the use of devices for group-oriented activities, such as providing objects of reference for a concurrent interactional turn, is likely to contribute to the normal dynamics of the interaction, while device use for self-oriented activities is likely to detract from these dynamics. I further anticipate that, where the device user approximates verbal communication appropriate to their interactional role, device use is unlikely to detract from the dynamics of the interaction.</w:t>
      </w:r>
    </w:p>
    <w:p w14:paraId="6016830C" w14:textId="77777777" w:rsidR="0048524B" w:rsidRDefault="0048524B"/>
    <w:p w14:paraId="5AAE46CA" w14:textId="6467AF0E" w:rsidR="0048524B" w:rsidRDefault="0048524B">
      <w:r w:rsidRPr="002E1C1E">
        <w:rPr>
          <w:b/>
          <w:noProof/>
        </w:rPr>
        <w:t>Katrina</w:t>
      </w:r>
      <w:r w:rsidRPr="008357DE">
        <w:rPr>
          <w:b/>
        </w:rPr>
        <w:t xml:space="preserve"> </w:t>
      </w:r>
      <w:r w:rsidRPr="002E1C1E">
        <w:rPr>
          <w:b/>
          <w:noProof/>
        </w:rPr>
        <w:t>Tse</w:t>
      </w:r>
      <w:r w:rsidRPr="008357DE">
        <w:rPr>
          <w:b/>
        </w:rPr>
        <w:t xml:space="preserve"> </w:t>
      </w:r>
      <w:r>
        <w:rPr>
          <w:b/>
        </w:rPr>
        <w:t xml:space="preserve"> </w:t>
      </w:r>
      <w:r w:rsidRPr="008357DE">
        <w:t>(</w:t>
      </w:r>
      <w:r>
        <w:rPr>
          <w:noProof/>
        </w:rPr>
        <w:t>University of Warwick</w:t>
      </w:r>
      <w:r w:rsidR="00FA0650">
        <w:t>)</w:t>
      </w:r>
    </w:p>
    <w:p w14:paraId="6ADE8EA5" w14:textId="77777777" w:rsidR="0048524B" w:rsidRDefault="0048524B">
      <w:pPr>
        <w:rPr>
          <w:i/>
        </w:rPr>
      </w:pPr>
      <w:r w:rsidRPr="002E1C1E">
        <w:rPr>
          <w:i/>
          <w:noProof/>
        </w:rPr>
        <w:t>The Self-Tickling Effect, and the Effect of Mood on Ticklish Sensation</w:t>
      </w:r>
    </w:p>
    <w:p w14:paraId="771332EB" w14:textId="77777777" w:rsidR="0048524B" w:rsidRDefault="0048524B">
      <w:r>
        <w:rPr>
          <w:noProof/>
        </w:rPr>
        <w:t>We are able to tickle others, but when it comes to tickling ourselves, we are unable to produce the same sensation. This study investigated the role of the motor command in body-related perceptions; specifically, four explanations as to why we are unable to tickle ourselves: (i) the sensory prediction, generated by the efference copies of the motor command, caused sensory attenuation of the self-action; (ii) the non-reafferent proprioceptive feedback of the passive self-movement produced sensory attenuation of self-movement; (iii) the reflex explanation – the sensory consequences of self-tickling are not unpredictable; (iv) the interpersonal explanation – self-tickling lacks social context. Although these explanations have been utilised in previous research on tickling, this study makes a distinctive contribution through its examination of how an individuals’ mood influences their tickling response. Participants (n=39) were induced into a happy or sad mood by watching an emotional video clip. They were then tickled in four different ways: (i) active self-tickling, (ii) passive self-tickling, (iii) tickled by a machine, (iv) tickled by a researcher. The results showed that there was: (i) no significant difference between the tickling scores of active and passive self-movements; (ii) no significant difference between the tickling scores of tickles generated by the machine and by the researcher; (iii) no significant difference between the tickling scores of the ‘happy’ individuals and ‘sad’ individuals. With the aim of remedying individuals’ mental health, this data could be used towards facilitating the implementation of new strategies such as tickling therapy for patients with depression.</w:t>
      </w:r>
    </w:p>
    <w:p w14:paraId="36955FA0" w14:textId="77777777" w:rsidR="0048524B" w:rsidRDefault="0048524B"/>
    <w:p w14:paraId="1E307837" w14:textId="69314E79" w:rsidR="00FA0650" w:rsidRDefault="00FA0650" w:rsidP="0046248A">
      <w:pPr>
        <w:pStyle w:val="Heading1"/>
      </w:pPr>
      <w:r w:rsidRPr="0046248A">
        <w:lastRenderedPageBreak/>
        <w:t xml:space="preserve">Panel 20B: </w:t>
      </w:r>
      <w:r w:rsidR="0046248A" w:rsidRPr="0046248A">
        <w:t>Sex, Gender and Morality</w:t>
      </w:r>
    </w:p>
    <w:p w14:paraId="239C6E1F" w14:textId="77777777" w:rsidR="0046248A" w:rsidRPr="0046248A" w:rsidRDefault="0046248A" w:rsidP="0046248A"/>
    <w:p w14:paraId="1B825984" w14:textId="78B3A0E5" w:rsidR="0048524B" w:rsidRDefault="0048524B">
      <w:r w:rsidRPr="002E1C1E">
        <w:rPr>
          <w:b/>
          <w:noProof/>
        </w:rPr>
        <w:t>Veronica</w:t>
      </w:r>
      <w:r w:rsidRPr="008357DE">
        <w:rPr>
          <w:b/>
        </w:rPr>
        <w:t xml:space="preserve"> </w:t>
      </w:r>
      <w:r w:rsidRPr="002E1C1E">
        <w:rPr>
          <w:b/>
          <w:noProof/>
        </w:rPr>
        <w:t>Stocker</w:t>
      </w:r>
      <w:r w:rsidRPr="008357DE">
        <w:rPr>
          <w:b/>
        </w:rPr>
        <w:t xml:space="preserve"> </w:t>
      </w:r>
      <w:r>
        <w:rPr>
          <w:b/>
        </w:rPr>
        <w:t xml:space="preserve"> </w:t>
      </w:r>
      <w:r w:rsidRPr="008357DE">
        <w:t>(</w:t>
      </w:r>
      <w:r>
        <w:rPr>
          <w:noProof/>
        </w:rPr>
        <w:t>Baruch College, CUNY</w:t>
      </w:r>
      <w:r>
        <w:t xml:space="preserve">), </w:t>
      </w:r>
      <w:r>
        <w:rPr>
          <w:noProof/>
        </w:rPr>
        <w:t>20B</w:t>
      </w:r>
    </w:p>
    <w:p w14:paraId="72B0CF01" w14:textId="77777777" w:rsidR="0048524B" w:rsidRDefault="0048524B">
      <w:pPr>
        <w:rPr>
          <w:i/>
        </w:rPr>
      </w:pPr>
      <w:r w:rsidRPr="002E1C1E">
        <w:rPr>
          <w:i/>
          <w:noProof/>
        </w:rPr>
        <w:t>Assignment or Choice: The effect of gender on experience-taking</w:t>
      </w:r>
    </w:p>
    <w:p w14:paraId="04024018" w14:textId="77777777" w:rsidR="0048524B" w:rsidRDefault="0048524B">
      <w:r>
        <w:rPr>
          <w:noProof/>
        </w:rPr>
        <w:t>Experience-taking occurs when a person who is exposed to a character from a story takes the mindset of that character (Kaufman and Libby, 2012). Research has demonstrated that women are more likely than men to experience-take with characters of both genders, whereas men are less able to experience-take with female characters (Oatley, 1996). These studies further examined the differences between gender and experience-take tendencies based on character gender. In study one, we hypothesised that females would experience-take as equally as males when accessing a logical male character but would be less likely to experience-take than males for a comical or funny male character. For the second study, we hypothesised that when participants generate their own character in an experience-taking task, females will be more likely than males to choose and identify with a female character. Our first study found no differences in experience-taking between the type of male character and gender of the person experience-taking. Our second study found that male participants were significantly less likely to choose a female character compared to female participants, who chose male and female characters equally. However, this relationship did not result in a difference in reported experience-taking. These studies help us better understand the impact of popular role models’ portrayal of gender norms on individual’s ability to identify with certain characters. With this information, we may better understand how to navigate the edges of tradition to explore role models whose traits challenge conservative gender norms.</w:t>
      </w:r>
    </w:p>
    <w:p w14:paraId="65618D64" w14:textId="77777777" w:rsidR="0048524B" w:rsidRDefault="0048524B"/>
    <w:p w14:paraId="6A7A29C4" w14:textId="77777777" w:rsidR="0048524B" w:rsidRDefault="0048524B">
      <w:r w:rsidRPr="002E1C1E">
        <w:rPr>
          <w:b/>
          <w:noProof/>
        </w:rPr>
        <w:t>Gabriella</w:t>
      </w:r>
      <w:r w:rsidRPr="008357DE">
        <w:rPr>
          <w:b/>
        </w:rPr>
        <w:t xml:space="preserve"> </w:t>
      </w:r>
      <w:r w:rsidRPr="002E1C1E">
        <w:rPr>
          <w:b/>
          <w:noProof/>
        </w:rPr>
        <w:t>Epshteyn</w:t>
      </w:r>
      <w:r w:rsidRPr="008357DE">
        <w:rPr>
          <w:b/>
        </w:rPr>
        <w:t xml:space="preserve"> </w:t>
      </w:r>
      <w:r w:rsidRPr="002E1C1E">
        <w:rPr>
          <w:b/>
          <w:noProof/>
        </w:rPr>
        <w:t>and Debra Zomberg</w:t>
      </w:r>
      <w:r>
        <w:rPr>
          <w:b/>
        </w:rPr>
        <w:t xml:space="preserve"> </w:t>
      </w:r>
      <w:r w:rsidRPr="008357DE">
        <w:t>(</w:t>
      </w:r>
      <w:r>
        <w:rPr>
          <w:noProof/>
        </w:rPr>
        <w:t>Baruch College, CUNY</w:t>
      </w:r>
      <w:r>
        <w:t xml:space="preserve">), </w:t>
      </w:r>
      <w:r>
        <w:rPr>
          <w:noProof/>
        </w:rPr>
        <w:t>20B</w:t>
      </w:r>
    </w:p>
    <w:p w14:paraId="6BA12861" w14:textId="77777777" w:rsidR="0048524B" w:rsidRDefault="0048524B">
      <w:pPr>
        <w:rPr>
          <w:i/>
        </w:rPr>
      </w:pPr>
      <w:r w:rsidRPr="002E1C1E">
        <w:rPr>
          <w:i/>
          <w:noProof/>
        </w:rPr>
        <w:t>Social Desirability Bias and Conformity to Moral ‘Norms’: A prospective study</w:t>
      </w:r>
    </w:p>
    <w:p w14:paraId="20970BD3" w14:textId="77777777" w:rsidR="0048524B" w:rsidRDefault="0048524B">
      <w:r>
        <w:rPr>
          <w:noProof/>
        </w:rPr>
        <w:t>This is the principle question that we explored in the creation of our prospective study. ‘Social desirability bias’ is widely referred to as the tendency for individuals to alter their honest responses to provide ‘socially acceptable’ responses. We chose to base future quantitative data analysis upon the 33-item Marlowe-Crowne Social Desirability (MCSDS) scale, which provides a valid measure for the expression of social desirability bias (Crowne and Marlowe, 1960; Barger, 2002). Following the path of the Lonnqvist et al. (2009), we propose to examine the effect of participants’ perceived ethical standing but with detailed scenarios. An online questionnaire consisting of four randomly selected ethical scenarios taken from the DIT2 Instrument of Moral Judgement (Rest et al., 1999) will be administered. We hypothesise that many of the participants will choose to answer in a ‘socially acceptable’ manner, furthermore we posit that participants who are told that they are less ethical than their peers will adjust their responses accordingly to reflect what is socially desirable. Conversely, we are also interested in whether telling participants that they are more ethical than peers will have any mitigating effect on expression of social desirability bias. Possible implications of this study could yield useful information regarding susceptibility to social desirability bias and behavioural modification in situations of perceived moral inferiority, as well as revealing possible flaws in large-scale polling related to social/political issues.</w:t>
      </w:r>
    </w:p>
    <w:p w14:paraId="5DAD576C" w14:textId="77777777" w:rsidR="0048524B" w:rsidRDefault="0048524B"/>
    <w:p w14:paraId="0B20BCB8" w14:textId="77777777" w:rsidR="0046248A" w:rsidRDefault="0046248A">
      <w:pPr>
        <w:rPr>
          <w:b/>
          <w:noProof/>
        </w:rPr>
      </w:pPr>
    </w:p>
    <w:p w14:paraId="5DFFA5CC" w14:textId="43395FE5" w:rsidR="0048524B" w:rsidRDefault="0048524B">
      <w:r w:rsidRPr="002E1C1E">
        <w:rPr>
          <w:b/>
          <w:noProof/>
        </w:rPr>
        <w:lastRenderedPageBreak/>
        <w:t>Rachel</w:t>
      </w:r>
      <w:r w:rsidRPr="008357DE">
        <w:rPr>
          <w:b/>
        </w:rPr>
        <w:t xml:space="preserve"> </w:t>
      </w:r>
      <w:r w:rsidRPr="002E1C1E">
        <w:rPr>
          <w:b/>
          <w:noProof/>
        </w:rPr>
        <w:t>Clark</w:t>
      </w:r>
      <w:r w:rsidRPr="008357DE">
        <w:rPr>
          <w:b/>
        </w:rPr>
        <w:t xml:space="preserve"> </w:t>
      </w:r>
      <w:r>
        <w:rPr>
          <w:b/>
        </w:rPr>
        <w:t xml:space="preserve"> </w:t>
      </w:r>
      <w:r w:rsidRPr="008357DE">
        <w:t>(</w:t>
      </w:r>
      <w:r>
        <w:rPr>
          <w:noProof/>
        </w:rPr>
        <w:t>University of Warwick</w:t>
      </w:r>
      <w:r>
        <w:t xml:space="preserve">), </w:t>
      </w:r>
      <w:r>
        <w:rPr>
          <w:noProof/>
        </w:rPr>
        <w:t>20B</w:t>
      </w:r>
    </w:p>
    <w:p w14:paraId="33885B9A" w14:textId="77777777" w:rsidR="0048524B" w:rsidRDefault="0048524B">
      <w:pPr>
        <w:rPr>
          <w:i/>
        </w:rPr>
      </w:pPr>
      <w:r w:rsidRPr="002E1C1E">
        <w:rPr>
          <w:i/>
          <w:noProof/>
        </w:rPr>
        <w:t xml:space="preserve">Dreaming of Another Life: Transcending chronological time through romantic fantasy in Wong Kar-wai’s </w:t>
      </w:r>
      <w:r w:rsidRPr="00B30D54">
        <w:t>In the Mood for Love</w:t>
      </w:r>
      <w:r w:rsidRPr="002E1C1E">
        <w:rPr>
          <w:i/>
          <w:noProof/>
        </w:rPr>
        <w:t xml:space="preserve"> (2000)</w:t>
      </w:r>
    </w:p>
    <w:p w14:paraId="112EEA48" w14:textId="77777777" w:rsidR="0048524B" w:rsidRDefault="0048524B">
      <w:r>
        <w:rPr>
          <w:noProof/>
        </w:rPr>
        <w:t>George Bluestone states that there are two kinds of time: chronological time, measured by clocks, and psychological time, which ‘distends or compresses in consciousness, and presents itself in continuous flux’ (1957: 48–49). I will explore the implications of disruption to strict chronology in film, in relation to the representation of the inherently non-chronological processes of memory and dream. After a brief overview of my theoretical approach, influenced by Bergson and Deleuze, I will move through to textual analysis of the film In the Mood for Love, first looking at the film as a whole and then at two sequences in greater detail. In the Mood for Love tells the story of two would-be lovers in the socially conservative Hong Kong of the early 1960s, both married to other people and so unable to find permanent happiness together. I propose that the film utilises its disjointed and non-chronological approach to time in order to articulate romantic fantasies that cannot be realised, demonstrating the extra-narrative potential of cinematic time. Dream is wholly subjective, with no place in linearity; its presence is inherently a rupture to chronological time. Therefore, in order to convey dream in the inescapably linear format of a film (where one shot must always follow another and every scene must end), Wong uses a variety of devices to both elongate and compress time, transforming the film into a subjective meditation on unspoken desire.</w:t>
      </w:r>
    </w:p>
    <w:p w14:paraId="4FDE7CA2" w14:textId="77777777" w:rsidR="0048524B" w:rsidRDefault="0048524B"/>
    <w:p w14:paraId="256040B3" w14:textId="77777777" w:rsidR="0048524B" w:rsidRDefault="0048524B">
      <w:r w:rsidRPr="002E1C1E">
        <w:rPr>
          <w:b/>
          <w:noProof/>
        </w:rPr>
        <w:t>Elena</w:t>
      </w:r>
      <w:r w:rsidRPr="008357DE">
        <w:rPr>
          <w:b/>
        </w:rPr>
        <w:t xml:space="preserve"> </w:t>
      </w:r>
      <w:r w:rsidRPr="002E1C1E">
        <w:rPr>
          <w:b/>
          <w:noProof/>
        </w:rPr>
        <w:t>Mylona</w:t>
      </w:r>
      <w:r w:rsidRPr="008357DE">
        <w:rPr>
          <w:b/>
        </w:rPr>
        <w:t xml:space="preserve"> </w:t>
      </w:r>
      <w:r>
        <w:rPr>
          <w:b/>
        </w:rPr>
        <w:t xml:space="preserve"> </w:t>
      </w:r>
      <w:r w:rsidRPr="008357DE">
        <w:t>(</w:t>
      </w:r>
      <w:r>
        <w:rPr>
          <w:noProof/>
        </w:rPr>
        <w:t>University of Warwick</w:t>
      </w:r>
      <w:r>
        <w:t xml:space="preserve">), </w:t>
      </w:r>
      <w:r>
        <w:rPr>
          <w:noProof/>
        </w:rPr>
        <w:t>20B</w:t>
      </w:r>
    </w:p>
    <w:p w14:paraId="789ED171" w14:textId="77777777" w:rsidR="0048524B" w:rsidRDefault="0048524B">
      <w:pPr>
        <w:rPr>
          <w:i/>
        </w:rPr>
      </w:pPr>
      <w:r w:rsidRPr="002E1C1E">
        <w:rPr>
          <w:i/>
          <w:noProof/>
        </w:rPr>
        <w:t>Attitudes Towards Homosexuality in Cyprus: What’s religion got to do with it?</w:t>
      </w:r>
    </w:p>
    <w:p w14:paraId="7FD5C1A6" w14:textId="77777777" w:rsidR="0048524B" w:rsidRDefault="0048524B">
      <w:r>
        <w:rPr>
          <w:noProof/>
        </w:rPr>
        <w:t>This study aims to explore Greek-Cypriots’ attitudes towards homosexuality in Cyprus, with a particular focus on the perceived importance of religion. Cyprus is a country where most people tend to have strong religious beliefs and traditional values. Same-sex marriage was legalised in Cyprus in December 2015. By using the World Values Survey Wave 6 data, where interviews were conducted in 2011, this study examines whether, and by how much, importance of religion in one’s life and socio-demographic measures such as sex, age, education, income and marital status affect attitudes towards homosexuality, through ordered logit models. Findings suggest that importance of religion is one of the main factors affecting attitudes towards homosexuality, affirming that individuals who perceive religion as less important are more likely to have a favourable attitude towards homosexuality. Sex and age were also found to be significant, suggesting that women and younger individuals tend to be more accepting when it comes to same-sex relationships and seem to have a more favourable attitude. Older individuals, particularly men, tend to have strong traditional values, making them less accepting than younger individuals and women when it comes to ‘taboo’ topics, such as homosexuality. Predicted probabilities for different outcomes for attitudes towards homosexuality based on perceived importance of religion are presented, revealing that an average single Cypriot woman who believes that religion is not at all important to her has a predicted probability of believing that homosexuality is always justifiable of 20.5 per cent, while one who believes that religion is very important to her has a predicted probability of believing that homosexuality is always justifiable of 5.3 per cent. This study concludes by suggesting that people in Cyprus still find it hard to accept same-sex relationships, mainly due to their strong religious beliefs, and in all likelihood, importance of family and traditional values. Future studies could benefit from looking explicitly at religious beliefs, family values and traditionalism, especially in countries like Cyprus, as these factors are likely to influence at a great extent attitudes towards homosexuality.</w:t>
      </w:r>
    </w:p>
    <w:p w14:paraId="46730932" w14:textId="081B1848" w:rsidR="0048524B" w:rsidRDefault="0046248A" w:rsidP="0046248A">
      <w:pPr>
        <w:pStyle w:val="Heading1"/>
      </w:pPr>
      <w:r>
        <w:lastRenderedPageBreak/>
        <w:t>Posters</w:t>
      </w:r>
    </w:p>
    <w:p w14:paraId="127F4106" w14:textId="77777777" w:rsidR="0046248A" w:rsidRPr="0046248A" w:rsidRDefault="0046248A" w:rsidP="0046248A"/>
    <w:p w14:paraId="4634A1CC" w14:textId="46A33645" w:rsidR="0048524B" w:rsidRDefault="0048524B">
      <w:r w:rsidRPr="002E1C1E">
        <w:rPr>
          <w:b/>
          <w:noProof/>
        </w:rPr>
        <w:t>Scott</w:t>
      </w:r>
      <w:r w:rsidRPr="008357DE">
        <w:rPr>
          <w:b/>
        </w:rPr>
        <w:t xml:space="preserve"> </w:t>
      </w:r>
      <w:r w:rsidRPr="002E1C1E">
        <w:rPr>
          <w:b/>
          <w:noProof/>
        </w:rPr>
        <w:t>Ho</w:t>
      </w:r>
      <w:r w:rsidRPr="008357DE">
        <w:rPr>
          <w:b/>
        </w:rPr>
        <w:t xml:space="preserve"> </w:t>
      </w:r>
      <w:r>
        <w:rPr>
          <w:b/>
        </w:rPr>
        <w:t xml:space="preserve"> </w:t>
      </w:r>
      <w:r w:rsidRPr="008357DE">
        <w:t>(</w:t>
      </w:r>
      <w:r>
        <w:rPr>
          <w:noProof/>
        </w:rPr>
        <w:t>Monash University Australia</w:t>
      </w:r>
      <w:r w:rsidR="00640D83">
        <w:t>)</w:t>
      </w:r>
    </w:p>
    <w:p w14:paraId="6C2FF8C2" w14:textId="77777777" w:rsidR="0048524B" w:rsidRDefault="0048524B">
      <w:pPr>
        <w:rPr>
          <w:i/>
        </w:rPr>
      </w:pPr>
      <w:r w:rsidRPr="002E1C1E">
        <w:rPr>
          <w:i/>
          <w:noProof/>
        </w:rPr>
        <w:t>Investigating the Genetic Basis of Quorum Sensing in Acinetobacter Baumannii</w:t>
      </w:r>
    </w:p>
    <w:p w14:paraId="076708AA" w14:textId="77777777" w:rsidR="0048524B" w:rsidRDefault="0048524B">
      <w:r>
        <w:rPr>
          <w:noProof/>
        </w:rPr>
        <w:t>Acinetobacter baumannii is a multi-drug resistant pathogen that is prevalent in hospital settings. It can cause diseases such as sepsis, urinary tract infections and secondary meningitis. Quorum sensing is a mechanism by which bacteria communicate and sense population density to then regulate expression of certain virulence genes. Within this study, a clinical isolate taken from a Victorian Hospital underwent random mutagenesis. A specific mutant strain that was unable to produce a biofilm was of particular interest, and through this, we were able to analyse the differences in phenotype as to which genes had been disrupted. By studying quorum sensing in a worldwide ‘superbug’ via lab techniques and computational biology, we can understand how to manipulate it for medical and industrial applications.</w:t>
      </w:r>
    </w:p>
    <w:p w14:paraId="16C421AD" w14:textId="77777777" w:rsidR="0048524B" w:rsidRDefault="0048524B"/>
    <w:p w14:paraId="7D4C9AFF" w14:textId="22916E06" w:rsidR="0048524B" w:rsidRDefault="0048524B">
      <w:r w:rsidRPr="002E1C1E">
        <w:rPr>
          <w:b/>
          <w:noProof/>
        </w:rPr>
        <w:t>Hemawathy</w:t>
      </w:r>
      <w:r w:rsidRPr="008357DE">
        <w:rPr>
          <w:b/>
        </w:rPr>
        <w:t xml:space="preserve"> </w:t>
      </w:r>
      <w:r w:rsidRPr="002E1C1E">
        <w:rPr>
          <w:b/>
          <w:noProof/>
        </w:rPr>
        <w:t>Balarama</w:t>
      </w:r>
      <w:r w:rsidRPr="008357DE">
        <w:rPr>
          <w:b/>
        </w:rPr>
        <w:t xml:space="preserve"> </w:t>
      </w:r>
      <w:r>
        <w:rPr>
          <w:b/>
        </w:rPr>
        <w:t xml:space="preserve"> </w:t>
      </w:r>
      <w:r w:rsidRPr="008357DE">
        <w:t>(</w:t>
      </w:r>
      <w:r>
        <w:rPr>
          <w:noProof/>
        </w:rPr>
        <w:t>Monash University Australia</w:t>
      </w:r>
      <w:r w:rsidR="00640D83">
        <w:t>)</w:t>
      </w:r>
    </w:p>
    <w:p w14:paraId="7EE32ED4" w14:textId="77777777" w:rsidR="0048524B" w:rsidRDefault="0048524B">
      <w:pPr>
        <w:rPr>
          <w:i/>
        </w:rPr>
      </w:pPr>
      <w:r w:rsidRPr="002E1C1E">
        <w:rPr>
          <w:i/>
          <w:noProof/>
        </w:rPr>
        <w:t>Price Elasticities of Residential Electricity Demand: Estimates from Bangladesh</w:t>
      </w:r>
    </w:p>
    <w:p w14:paraId="6C888781" w14:textId="77777777" w:rsidR="0048524B" w:rsidRDefault="0048524B">
      <w:r>
        <w:rPr>
          <w:noProof/>
        </w:rPr>
        <w:t>Energy demand–supply mismatch, inequality of electricity access and poor access to reliable and sustainable energy are pressing issues in many developing countries. Understanding the determinants of residential electricity demand and especially the price elasticities of electricity demand by different types of households in a low-income country is imperative to inform policies that aim to address these issues. This paper uses data from five rounds of newly collected household surveys together with recent changes in electricity prices in Bangladesh to estimate the price elasticities of electricity demand by different types of households. Using a household fixed-effect instrumental variable estimation strategy that exploits variation in household-level prices induced by the national price shock, the paper will estimate the responsiveness of residential electricity consumption to prices for households with different consumption levels. The results will contribute to the understanding of residential electricity demand in developing countries and have implications on their energy and climate change policies.</w:t>
      </w:r>
    </w:p>
    <w:p w14:paraId="4CC34FE1" w14:textId="77777777" w:rsidR="0048524B" w:rsidRDefault="0048524B"/>
    <w:p w14:paraId="7BDC59DB" w14:textId="0C4842A2" w:rsidR="0048524B" w:rsidRDefault="0048524B">
      <w:r w:rsidRPr="002E1C1E">
        <w:rPr>
          <w:b/>
          <w:noProof/>
        </w:rPr>
        <w:t>Rachael</w:t>
      </w:r>
      <w:r w:rsidRPr="008357DE">
        <w:rPr>
          <w:b/>
        </w:rPr>
        <w:t xml:space="preserve"> </w:t>
      </w:r>
      <w:r w:rsidRPr="002E1C1E">
        <w:rPr>
          <w:b/>
          <w:noProof/>
        </w:rPr>
        <w:t>Dingfelder</w:t>
      </w:r>
      <w:r w:rsidRPr="008357DE">
        <w:rPr>
          <w:b/>
        </w:rPr>
        <w:t xml:space="preserve"> </w:t>
      </w:r>
      <w:r>
        <w:rPr>
          <w:b/>
        </w:rPr>
        <w:t xml:space="preserve"> </w:t>
      </w:r>
      <w:r w:rsidRPr="008357DE">
        <w:t>(</w:t>
      </w:r>
      <w:r>
        <w:rPr>
          <w:noProof/>
        </w:rPr>
        <w:t>Monash University Australia</w:t>
      </w:r>
      <w:r w:rsidR="00640D83">
        <w:t>)</w:t>
      </w:r>
    </w:p>
    <w:p w14:paraId="4F700EB5" w14:textId="77777777" w:rsidR="0048524B" w:rsidRDefault="0048524B">
      <w:pPr>
        <w:rPr>
          <w:i/>
        </w:rPr>
      </w:pPr>
      <w:r w:rsidRPr="002E1C1E">
        <w:rPr>
          <w:i/>
          <w:noProof/>
        </w:rPr>
        <w:t>Can Psychology Help Explain Historical Memory in the Context of the American Civil War?</w:t>
      </w:r>
    </w:p>
    <w:p w14:paraId="18F1222E" w14:textId="77777777" w:rsidR="0048524B" w:rsidRDefault="0048524B">
      <w:r>
        <w:rPr>
          <w:noProof/>
        </w:rPr>
        <w:t xml:space="preserve">The American Civil war ended over 150 years ago, yet it is still engrained in American culture. In academia the Civil War has been attributed to the emancipation movement; however, particularly in the Southern States, the war was attributed to a created ‘lost cause’. This ‘lost cause’ was forged in order to depoliticise the war effort by avoiding slavery and romanticising the war. The ‘lost cause’ essentially legalised segregation and White supremacy, which has recently been reignited through the election of Donald Trump. The aim of my research is to investigate whether Loftus’s theory of the Misinformation Effect can explain how historical memory differs from factuality. The misinformation effect demonstrates that memory is malleable and therefore can be altered. This is achieved by introducing a fact that seems congruent to the established memory, which the individual can then treat as fact. Therefore the ‘lost cause’ is congruent with the Southern States’ </w:t>
      </w:r>
      <w:r>
        <w:rPr>
          <w:noProof/>
        </w:rPr>
        <w:lastRenderedPageBreak/>
        <w:t>understanding of the war, thus ingraining it in society. Famous misquotations, including one by Robert E. Lee, provides evidence for the misinformation effect. The quotation ‘duty is the most sublimest thing’ has even been exposed as false, yet it still appears in history textbooks as fact. Furthermore, my research aims to identify whether there are factors that inhibit or exacerbate this phenomenon such as stereotyping and marginalisation. Ultimately, the association of gun violence with White supremacy in America today highlights that the legacy of the American Civil War is still important today.</w:t>
      </w:r>
    </w:p>
    <w:p w14:paraId="75B8EBD1" w14:textId="77777777" w:rsidR="0048524B" w:rsidRDefault="0048524B"/>
    <w:p w14:paraId="523B981A" w14:textId="2F7353B1" w:rsidR="0048524B" w:rsidRDefault="0048524B">
      <w:r w:rsidRPr="002E1C1E">
        <w:rPr>
          <w:b/>
          <w:noProof/>
        </w:rPr>
        <w:t>Vu</w:t>
      </w:r>
      <w:r w:rsidRPr="008357DE">
        <w:rPr>
          <w:b/>
        </w:rPr>
        <w:t xml:space="preserve"> </w:t>
      </w:r>
      <w:r w:rsidRPr="002E1C1E">
        <w:rPr>
          <w:b/>
          <w:noProof/>
        </w:rPr>
        <w:t>Duong</w:t>
      </w:r>
      <w:r w:rsidRPr="008357DE">
        <w:rPr>
          <w:b/>
        </w:rPr>
        <w:t xml:space="preserve"> </w:t>
      </w:r>
      <w:r>
        <w:rPr>
          <w:b/>
        </w:rPr>
        <w:t xml:space="preserve"> </w:t>
      </w:r>
      <w:r w:rsidRPr="008357DE">
        <w:t>(</w:t>
      </w:r>
      <w:r>
        <w:rPr>
          <w:noProof/>
        </w:rPr>
        <w:t>Monash University Australia</w:t>
      </w:r>
      <w:r w:rsidR="00640D83">
        <w:t>)</w:t>
      </w:r>
    </w:p>
    <w:p w14:paraId="5346FBEE" w14:textId="77777777" w:rsidR="0048524B" w:rsidRDefault="0048524B">
      <w:pPr>
        <w:rPr>
          <w:i/>
        </w:rPr>
      </w:pPr>
      <w:r w:rsidRPr="002E1C1E">
        <w:rPr>
          <w:i/>
          <w:noProof/>
        </w:rPr>
        <w:t>The Prevalence of Depression, Anxiety and Stress Symptoms Among Vietnamese Disadvantaged Youth: A preliminary study</w:t>
      </w:r>
    </w:p>
    <w:p w14:paraId="653BB52C" w14:textId="77777777" w:rsidR="0048524B" w:rsidRDefault="0048524B">
      <w:r>
        <w:rPr>
          <w:noProof/>
        </w:rPr>
        <w:t>Youth mental health disorders are a global public health concern and are among the top three conditions that cause disability. Despite this, there is a lack of commitment to mental healthcare in most low- and middle-income countries. The literature on the current state of youth mental health in developing countries is also very limited. Vietnam is one of the developing countries that has been facing an increasing burden of youth mental illness. This research aimed to address the gap in the literature regarding the prevalence of depression, anxiety and stress symptoms in Vietnam’s youth (aged 15–24). A sample of 92 disadvantaged youth from KOTO training centre in Vietnam was assessed using the short form of Depression, Anxiety and Stress Scale. Results found that among 92 participants, the prevalence of depression, anxiety and stress symptoms in the abnormal levels was 59.8%, 72.8% and 59.8% respectively. This preliminary study illustrates the alarming state of youth mental health in a small area of Vietnam. Further studies are required to assess the country more widely and to inform actions of health professionals and government policy to address this significant issue.</w:t>
      </w:r>
    </w:p>
    <w:p w14:paraId="3EA23F69" w14:textId="77777777" w:rsidR="0048524B" w:rsidRDefault="0048524B"/>
    <w:p w14:paraId="71678498" w14:textId="1EF5757C" w:rsidR="0048524B" w:rsidRDefault="0048524B">
      <w:r w:rsidRPr="002E1C1E">
        <w:rPr>
          <w:b/>
          <w:noProof/>
        </w:rPr>
        <w:t>Jessica</w:t>
      </w:r>
      <w:r w:rsidRPr="008357DE">
        <w:rPr>
          <w:b/>
        </w:rPr>
        <w:t xml:space="preserve"> </w:t>
      </w:r>
      <w:r w:rsidRPr="002E1C1E">
        <w:rPr>
          <w:b/>
          <w:noProof/>
        </w:rPr>
        <w:t>Eastman</w:t>
      </w:r>
      <w:r w:rsidRPr="008357DE">
        <w:rPr>
          <w:b/>
        </w:rPr>
        <w:t xml:space="preserve"> </w:t>
      </w:r>
      <w:r>
        <w:rPr>
          <w:b/>
        </w:rPr>
        <w:t xml:space="preserve"> </w:t>
      </w:r>
      <w:r w:rsidRPr="008357DE">
        <w:t>(</w:t>
      </w:r>
      <w:r>
        <w:rPr>
          <w:noProof/>
        </w:rPr>
        <w:t>Monash University Australia</w:t>
      </w:r>
      <w:r w:rsidR="00640D83">
        <w:t>)</w:t>
      </w:r>
    </w:p>
    <w:p w14:paraId="2B56B92D" w14:textId="77777777" w:rsidR="0048524B" w:rsidRDefault="0048524B">
      <w:pPr>
        <w:rPr>
          <w:i/>
        </w:rPr>
      </w:pPr>
      <w:r w:rsidRPr="002E1C1E">
        <w:rPr>
          <w:i/>
          <w:noProof/>
        </w:rPr>
        <w:t>Improving the Image of Influencing</w:t>
      </w:r>
    </w:p>
    <w:p w14:paraId="390AB3DD" w14:textId="77777777" w:rsidR="0048524B" w:rsidRDefault="0048524B" w:rsidP="00AC7DBF">
      <w:pPr>
        <w:rPr>
          <w:noProof/>
        </w:rPr>
      </w:pPr>
      <w:r>
        <w:rPr>
          <w:noProof/>
        </w:rPr>
        <w:t>Social media platforms have been effective in recent promotional efforts due to their origins in key marketing understandings that have been present since the twentieth century. In-person influencers are already a part of the chain of events in the consumer decision-making process, with individuals commonly turning to family and friends to inform purchases with increased appearance of credibility when compared to company-based communications. Social media influencers are infiltrating this circle with the impression of being authentic and relatable to their followers, leading them to possess a valued opinion.</w:t>
      </w:r>
    </w:p>
    <w:p w14:paraId="6AA2E7D2" w14:textId="77777777" w:rsidR="0048524B" w:rsidRDefault="0048524B" w:rsidP="00AC7DBF">
      <w:pPr>
        <w:rPr>
          <w:noProof/>
        </w:rPr>
      </w:pPr>
      <w:r>
        <w:rPr>
          <w:noProof/>
        </w:rPr>
        <w:t>The posed question is: how might influencers create a sense of consistency across their social media platforms?</w:t>
      </w:r>
    </w:p>
    <w:p w14:paraId="06A44885" w14:textId="77777777" w:rsidR="0048524B" w:rsidRDefault="0048524B" w:rsidP="00AC7DBF">
      <w:pPr>
        <w:rPr>
          <w:noProof/>
        </w:rPr>
      </w:pPr>
      <w:r>
        <w:rPr>
          <w:noProof/>
        </w:rPr>
        <w:t>Case studies and interviews will be conducted to investigate how influencers approach their branding – specifically analysing their use of colour, layout and content across various platforms to assess what the drivers are behind the development of their brand. Brand representatives inform whether the professional image of influencers impact their decision to collaborate.</w:t>
      </w:r>
    </w:p>
    <w:p w14:paraId="677ED900" w14:textId="77777777" w:rsidR="0048524B" w:rsidRDefault="0048524B">
      <w:r>
        <w:rPr>
          <w:noProof/>
        </w:rPr>
        <w:t xml:space="preserve">The project outcome is to create a destination for influencers or aspiring influencers to raise their awareness on the importance of professional and consistent imagery across their social media </w:t>
      </w:r>
      <w:r>
        <w:rPr>
          <w:noProof/>
        </w:rPr>
        <w:lastRenderedPageBreak/>
        <w:t>platforms. Social media as a promotional tool is still a new and somewhat unknown space with many influencer creations directed by personal creative instincts. With this research, a greater sense of respect for the craft as a viable career could be built, as well as a more stable direction for influencers on creating a professional and cohesive environment for their consumers and for interested brands.</w:t>
      </w:r>
    </w:p>
    <w:p w14:paraId="0857C82B" w14:textId="77777777" w:rsidR="0048524B" w:rsidRDefault="0048524B"/>
    <w:p w14:paraId="2AA6D411" w14:textId="6B0E6DF0" w:rsidR="0048524B" w:rsidRDefault="0048524B">
      <w:r w:rsidRPr="002E1C1E">
        <w:rPr>
          <w:b/>
          <w:noProof/>
        </w:rPr>
        <w:t>Disala</w:t>
      </w:r>
      <w:r w:rsidRPr="008357DE">
        <w:rPr>
          <w:b/>
        </w:rPr>
        <w:t xml:space="preserve"> </w:t>
      </w:r>
      <w:r w:rsidRPr="002E1C1E">
        <w:rPr>
          <w:b/>
          <w:noProof/>
        </w:rPr>
        <w:t>Jayawardana</w:t>
      </w:r>
      <w:r w:rsidRPr="008357DE">
        <w:rPr>
          <w:b/>
        </w:rPr>
        <w:t xml:space="preserve"> </w:t>
      </w:r>
      <w:r>
        <w:rPr>
          <w:b/>
        </w:rPr>
        <w:t xml:space="preserve"> </w:t>
      </w:r>
      <w:r w:rsidRPr="008357DE">
        <w:t>(</w:t>
      </w:r>
      <w:r>
        <w:rPr>
          <w:noProof/>
        </w:rPr>
        <w:t>Monash University Australia</w:t>
      </w:r>
      <w:r w:rsidR="00640D83">
        <w:t>)</w:t>
      </w:r>
    </w:p>
    <w:p w14:paraId="5D225DBA" w14:textId="77777777" w:rsidR="0048524B" w:rsidRDefault="0048524B">
      <w:pPr>
        <w:rPr>
          <w:i/>
        </w:rPr>
      </w:pPr>
      <w:r w:rsidRPr="002E1C1E">
        <w:rPr>
          <w:i/>
          <w:noProof/>
        </w:rPr>
        <w:t>The Big Shift: Will plant-based food packaging start packaging plants?</w:t>
      </w:r>
    </w:p>
    <w:p w14:paraId="0A728257" w14:textId="77777777" w:rsidR="0048524B" w:rsidRDefault="0048524B" w:rsidP="00AC7DBF">
      <w:pPr>
        <w:rPr>
          <w:noProof/>
        </w:rPr>
      </w:pPr>
      <w:r>
        <w:rPr>
          <w:noProof/>
        </w:rPr>
        <w:t>In 2016, the Ellen MacArthur foundation announced that 30 per cent of plastic packaging is not suitable for recycling or reuse and ultimately ends up in the ocean. Food packaging has a great demand for plastics since there is a global reliance on processed food. The packaging, however, is multi-layered for good barrier properties and falls into the class of non-recyclable plastics that lead to pollution.</w:t>
      </w:r>
    </w:p>
    <w:p w14:paraId="65FEE7F2" w14:textId="77777777" w:rsidR="0048524B" w:rsidRDefault="0048524B" w:rsidP="00AC7DBF">
      <w:pPr>
        <w:rPr>
          <w:noProof/>
        </w:rPr>
      </w:pPr>
      <w:r>
        <w:rPr>
          <w:noProof/>
        </w:rPr>
        <w:t>A biodegradable alternative would be to market packaging made from plant-derived biopolymers. When incorporated with plasticisers and other additives, these packagings reproduce the functionality of petroleum-based plastics.</w:t>
      </w:r>
    </w:p>
    <w:p w14:paraId="7F150C6C" w14:textId="77777777" w:rsidR="0048524B" w:rsidRDefault="0048524B">
      <w:r>
        <w:rPr>
          <w:noProof/>
        </w:rPr>
        <w:t>In this presentation, I will discuss how successful biofilms are in replicating the mechanical strength, versatility and barrier properties of synthetic plastics by comparing primary data from diverse plant sources with popular plastics such as polythene. The discussion includes the properties of additives used and the overall calculated environmental benefits in switching from conventional packaging. The research will enlighten us on how close we are to making the shift.</w:t>
      </w:r>
    </w:p>
    <w:p w14:paraId="658A7F72" w14:textId="77777777" w:rsidR="0048524B" w:rsidRDefault="0048524B"/>
    <w:p w14:paraId="0D482E21" w14:textId="4365973D" w:rsidR="0048524B" w:rsidRDefault="0048524B">
      <w:r w:rsidRPr="002E1C1E">
        <w:rPr>
          <w:b/>
          <w:noProof/>
        </w:rPr>
        <w:t>Sarah</w:t>
      </w:r>
      <w:r w:rsidRPr="008357DE">
        <w:rPr>
          <w:b/>
        </w:rPr>
        <w:t xml:space="preserve"> </w:t>
      </w:r>
      <w:r w:rsidRPr="002E1C1E">
        <w:rPr>
          <w:b/>
          <w:noProof/>
        </w:rPr>
        <w:t>Phan</w:t>
      </w:r>
      <w:r w:rsidRPr="008357DE">
        <w:rPr>
          <w:b/>
        </w:rPr>
        <w:t xml:space="preserve"> </w:t>
      </w:r>
      <w:r>
        <w:rPr>
          <w:b/>
        </w:rPr>
        <w:t xml:space="preserve"> </w:t>
      </w:r>
      <w:r w:rsidRPr="008357DE">
        <w:t>(</w:t>
      </w:r>
      <w:r>
        <w:rPr>
          <w:noProof/>
        </w:rPr>
        <w:t>Monash University Australia</w:t>
      </w:r>
      <w:r w:rsidR="00640D83">
        <w:t>)</w:t>
      </w:r>
    </w:p>
    <w:p w14:paraId="251E692E" w14:textId="77777777" w:rsidR="0048524B" w:rsidRDefault="0048524B">
      <w:pPr>
        <w:rPr>
          <w:i/>
        </w:rPr>
      </w:pPr>
      <w:r w:rsidRPr="002E1C1E">
        <w:rPr>
          <w:i/>
          <w:noProof/>
        </w:rPr>
        <w:t>Fertile Ignorance: Identifying knowledge gaps in young adults</w:t>
      </w:r>
    </w:p>
    <w:p w14:paraId="1AB5BE3D" w14:textId="77777777" w:rsidR="0048524B" w:rsidRDefault="0048524B">
      <w:r>
        <w:rPr>
          <w:noProof/>
        </w:rPr>
        <w:t>Australia faces the conflating issues of high rates of unintended pregnancy and infertility, typically due to the widespread delay in childbearing. For young adults, 40 per cent of first pregnancies are unintended, yet by age 40, individuals have 1.5 fewer children than intended. Both result in substantial social and economic costs to the public and the individual, as well as placing a significant burden on the healthcare system. Thus, an understanding of fertility management is crucial. This paper will cover aspects such as sexual and reproductive health topics taught in school, use of contraception and young adults’ knowledge of factors influencing fertility and age-related fertility decline. Using data from a cross-sectional survey of men and women of reproductive age, the aim is to primarily pinpoint core gaps in knowledge among young adults as well as factors associated with them. In doing so, results can assist in informing health promotion and public health intervention programmes that raise awareness of reproductive and sexual health issues, and reduce public and individual costs associated with sub-optimal fertility management. Furthermore, findings can assist in enhancing sex-education programmes in schools and improve the coverage of topics taught. Providing sufficient knowledge early in life to young adults can empower them to make informed decisions, and ensure pregnancies are intended and reproductive goals are achieved.</w:t>
      </w:r>
    </w:p>
    <w:p w14:paraId="494FEA4C" w14:textId="77777777" w:rsidR="0048524B" w:rsidRDefault="0048524B"/>
    <w:p w14:paraId="19DC5209" w14:textId="47FA1DD2" w:rsidR="0048524B" w:rsidRDefault="0048524B">
      <w:r w:rsidRPr="002E1C1E">
        <w:rPr>
          <w:b/>
          <w:noProof/>
        </w:rPr>
        <w:t>Linda</w:t>
      </w:r>
      <w:r w:rsidRPr="008357DE">
        <w:rPr>
          <w:b/>
        </w:rPr>
        <w:t xml:space="preserve"> </w:t>
      </w:r>
      <w:r w:rsidRPr="002E1C1E">
        <w:rPr>
          <w:b/>
          <w:noProof/>
        </w:rPr>
        <w:t>Tran</w:t>
      </w:r>
      <w:r w:rsidRPr="008357DE">
        <w:rPr>
          <w:b/>
        </w:rPr>
        <w:t xml:space="preserve"> </w:t>
      </w:r>
      <w:r w:rsidRPr="002E1C1E">
        <w:rPr>
          <w:b/>
          <w:noProof/>
        </w:rPr>
        <w:t>and Amanda Tang</w:t>
      </w:r>
      <w:r>
        <w:rPr>
          <w:b/>
        </w:rPr>
        <w:t xml:space="preserve"> </w:t>
      </w:r>
      <w:r w:rsidRPr="008357DE">
        <w:t>(</w:t>
      </w:r>
      <w:r>
        <w:rPr>
          <w:noProof/>
        </w:rPr>
        <w:t>Monash University Australia</w:t>
      </w:r>
      <w:r w:rsidR="00640D83">
        <w:t>)</w:t>
      </w:r>
    </w:p>
    <w:p w14:paraId="3443D061" w14:textId="77777777" w:rsidR="0048524B" w:rsidRDefault="0048524B">
      <w:pPr>
        <w:rPr>
          <w:i/>
        </w:rPr>
      </w:pPr>
      <w:r w:rsidRPr="002E1C1E">
        <w:rPr>
          <w:i/>
          <w:noProof/>
        </w:rPr>
        <w:lastRenderedPageBreak/>
        <w:t>The Advantages and Disadvantages of Integrating Artificial Intelligence into the Military</w:t>
      </w:r>
    </w:p>
    <w:p w14:paraId="289DDA0E" w14:textId="77777777" w:rsidR="0048524B" w:rsidRDefault="0048524B">
      <w:r>
        <w:rPr>
          <w:noProof/>
        </w:rPr>
        <w:t>Artificial intelligence describes a computer system’s ability to perform tasks requiring the intellectual capacity of a human. Indeed, with rapid and unforeseen advances in technology and computer sciences, an objective discussion regarding artificial intelligence and the challenges its advancement presents to the modern world must be had as humanity moves into the future. Hence, the immediate purpose of this report is to determine, investigate and analyse the advantages and disadvantages of integrating artificial intelligence into the military. This is to be achieved by conducting primary research through interviewing lawyers, judges and figures involved in the defence forces and secondary research through the extensive review of published journal articles and documents detailing military conduct. The ideas and concerns presented by this report will highlight the logistical, ethical and moral responsibilities that humanity must consider when utilising artificial intelligence to enhance defensive forces. Thus, the findings of this research can contribute to the understanding of appropriate legislative regulations regarding the use of artificial intelligence in a militia setting can be reached to preserve the righteousness of the service.</w:t>
      </w:r>
    </w:p>
    <w:p w14:paraId="4AC30322" w14:textId="77777777" w:rsidR="0048524B" w:rsidRDefault="0048524B"/>
    <w:p w14:paraId="365C0419" w14:textId="5D60644E" w:rsidR="0048524B" w:rsidRDefault="0048524B">
      <w:r w:rsidRPr="002E1C1E">
        <w:rPr>
          <w:b/>
          <w:noProof/>
        </w:rPr>
        <w:t>Margaret</w:t>
      </w:r>
      <w:r w:rsidRPr="008357DE">
        <w:rPr>
          <w:b/>
        </w:rPr>
        <w:t xml:space="preserve"> </w:t>
      </w:r>
      <w:r w:rsidRPr="002E1C1E">
        <w:rPr>
          <w:b/>
          <w:noProof/>
        </w:rPr>
        <w:t>Young</w:t>
      </w:r>
      <w:r w:rsidRPr="008357DE">
        <w:rPr>
          <w:b/>
        </w:rPr>
        <w:t xml:space="preserve"> </w:t>
      </w:r>
      <w:r>
        <w:rPr>
          <w:b/>
        </w:rPr>
        <w:t xml:space="preserve"> </w:t>
      </w:r>
      <w:r w:rsidRPr="008357DE">
        <w:t>(</w:t>
      </w:r>
      <w:r>
        <w:rPr>
          <w:noProof/>
        </w:rPr>
        <w:t>Monash University Australia</w:t>
      </w:r>
      <w:r w:rsidR="00640D83">
        <w:t>)</w:t>
      </w:r>
    </w:p>
    <w:p w14:paraId="0315F745" w14:textId="77777777" w:rsidR="0048524B" w:rsidRDefault="0048524B">
      <w:pPr>
        <w:rPr>
          <w:i/>
        </w:rPr>
      </w:pPr>
      <w:r w:rsidRPr="002E1C1E">
        <w:rPr>
          <w:i/>
          <w:noProof/>
        </w:rPr>
        <w:t>Bumble, Personal Empowerment and the Possibilities of Social Change</w:t>
      </w:r>
    </w:p>
    <w:p w14:paraId="7CBBD0C7" w14:textId="77777777" w:rsidR="0048524B" w:rsidRDefault="0048524B">
      <w:r>
        <w:rPr>
          <w:noProof/>
        </w:rPr>
        <w:t>Digital dating apps have revolutionised contemporary intimacy. One app, Bumble, expressly intends to ameliorate current gender power dynamics through requiring women to ‘go first’ in online conversations with ‘matched’ men. This study aims to investigate how women who use Bumble understand their use and experiences of using the app, and whether this aligns with the company’s claim that Bumble is more than an app, it is a movement. Using a qualitative framework and drawing on focus groups with women aged 18 to 30, the research considers whether Bumble facilitates women’s sense of empowerment and if this impacts dating practices beyond Bumble.</w:t>
      </w:r>
    </w:p>
    <w:p w14:paraId="4C4563C5" w14:textId="77777777" w:rsidR="0048524B" w:rsidRDefault="0048524B"/>
    <w:p w14:paraId="1D1168B1" w14:textId="2E5B11C1" w:rsidR="0048524B" w:rsidRDefault="0048524B">
      <w:r w:rsidRPr="002E1C1E">
        <w:rPr>
          <w:b/>
          <w:noProof/>
        </w:rPr>
        <w:t>Alice</w:t>
      </w:r>
      <w:r w:rsidRPr="008357DE">
        <w:rPr>
          <w:b/>
        </w:rPr>
        <w:t xml:space="preserve"> </w:t>
      </w:r>
      <w:r w:rsidRPr="002E1C1E">
        <w:rPr>
          <w:b/>
          <w:noProof/>
        </w:rPr>
        <w:t>Garrick,</w:t>
      </w:r>
      <w:r w:rsidRPr="008357DE">
        <w:rPr>
          <w:b/>
        </w:rPr>
        <w:t xml:space="preserve"> </w:t>
      </w:r>
      <w:r w:rsidRPr="002E1C1E">
        <w:rPr>
          <w:b/>
          <w:noProof/>
        </w:rPr>
        <w:t>Marie Lee and Carrington Scarffe</w:t>
      </w:r>
      <w:r>
        <w:rPr>
          <w:b/>
        </w:rPr>
        <w:t xml:space="preserve"> </w:t>
      </w:r>
      <w:r w:rsidRPr="008357DE">
        <w:t>(</w:t>
      </w:r>
      <w:r>
        <w:rPr>
          <w:noProof/>
        </w:rPr>
        <w:t>Monash University Australia</w:t>
      </w:r>
      <w:r w:rsidR="00640D83">
        <w:t>)</w:t>
      </w:r>
    </w:p>
    <w:p w14:paraId="3FEA05E6" w14:textId="77777777" w:rsidR="0048524B" w:rsidRDefault="0048524B">
      <w:pPr>
        <w:rPr>
          <w:i/>
        </w:rPr>
      </w:pPr>
      <w:r w:rsidRPr="002E1C1E">
        <w:rPr>
          <w:i/>
          <w:noProof/>
        </w:rPr>
        <w:t>Supporting Children with Autism Spectrum Disorder in Victorian Emergency Departments</w:t>
      </w:r>
    </w:p>
    <w:p w14:paraId="0FF119DB" w14:textId="77777777" w:rsidR="0048524B" w:rsidRDefault="0048524B">
      <w:r>
        <w:rPr>
          <w:noProof/>
        </w:rPr>
        <w:t xml:space="preserve">Children with Autism Spectrum Disorder (ASD) are more likely to experience poorer health than their neurotypical peers (Sigafoos et al., 2003, as cited in Cuvo et al., 2010) with a 26 per cent higher rate of Emergency Department admissions (Deavenport-Saman et al., 2016). Children with ASD often experience difficulty regulating sensory experiences, have difficulty with transitions between activities and experience anxiety when navigating unfamiliar situations (Stoner et al., 2007; Schaaf and Lane, 2014). These difficulties, among others, can make the stimulating Emergency Department context an overwhelming experience resulting in emotional dysregulation, stress and a negative experience of the Emergency Department (Souders et al., 2002). There are currently no resources available specifically for children with ASD and their families in the Victorian Emergency Department context. Through an online questionnaire using Parallel Data Gathering methods, integrating qualitative and quantitative data collection in the same investigation, this study aims to determine parents’ perceived barriers to safe and effective treatment for children with ASD in the Victorian Emergency Department and to evaluate available support resources for children with ASD in Victorian Emergency Departments and what resources are available outside of Victoria. Based on these findings, we will develop evidence-based digital resources that will support children with ASD in the Emergency Department within Victoria by aiding communication between families and </w:t>
      </w:r>
      <w:r>
        <w:rPr>
          <w:noProof/>
        </w:rPr>
        <w:lastRenderedPageBreak/>
        <w:t>healthcare staff, and educating children on Emergency Department procedure. This proposed research project has the potential to support children with ASD in Emergency Departments across Australia.</w:t>
      </w:r>
    </w:p>
    <w:p w14:paraId="2F799D1C" w14:textId="77777777" w:rsidR="0048524B" w:rsidRDefault="0048524B"/>
    <w:p w14:paraId="678CF7A3" w14:textId="5F4EFC8B" w:rsidR="0048524B" w:rsidRDefault="0048524B">
      <w:r w:rsidRPr="002E1C1E">
        <w:rPr>
          <w:b/>
          <w:noProof/>
        </w:rPr>
        <w:t>Yasas</w:t>
      </w:r>
      <w:r w:rsidRPr="008357DE">
        <w:rPr>
          <w:b/>
        </w:rPr>
        <w:t xml:space="preserve"> </w:t>
      </w:r>
      <w:r w:rsidRPr="002E1C1E">
        <w:rPr>
          <w:b/>
          <w:noProof/>
        </w:rPr>
        <w:t>Munasinghe</w:t>
      </w:r>
      <w:r w:rsidRPr="008357DE">
        <w:rPr>
          <w:b/>
        </w:rPr>
        <w:t xml:space="preserve"> </w:t>
      </w:r>
      <w:r>
        <w:rPr>
          <w:b/>
        </w:rPr>
        <w:t xml:space="preserve"> </w:t>
      </w:r>
      <w:r w:rsidRPr="008357DE">
        <w:t>(</w:t>
      </w:r>
      <w:r>
        <w:rPr>
          <w:noProof/>
        </w:rPr>
        <w:t>Monash University Malaysia</w:t>
      </w:r>
      <w:r w:rsidR="00640D83">
        <w:t>)</w:t>
      </w:r>
    </w:p>
    <w:p w14:paraId="26051876" w14:textId="77777777" w:rsidR="0048524B" w:rsidRDefault="0048524B">
      <w:pPr>
        <w:rPr>
          <w:i/>
        </w:rPr>
      </w:pPr>
      <w:r w:rsidRPr="002E1C1E">
        <w:rPr>
          <w:i/>
          <w:noProof/>
        </w:rPr>
        <w:t>Symptoms at First Contact as Predictors of Evolution towards Schizophrenia in Patients with Schizophreniform Disorder</w:t>
      </w:r>
    </w:p>
    <w:p w14:paraId="3B741EC5" w14:textId="77777777" w:rsidR="00FB1B62" w:rsidRPr="00FB1B62" w:rsidRDefault="00FB1B62" w:rsidP="00FB1B62">
      <w:r w:rsidRPr="00FB1B62">
        <w:t xml:space="preserve">Introduction: Schizophreniform disorder presents with schizophrenia-like symptoms longer than 1 month but less than 6 months. One third of them is known to remit fully by 6 months whilst the remaining two thirds progress to schizophrenia. Factors predicting full remission include an acute onset of psychotic symptoms, the presence of confusion, good premorbid functioning and the absence of blunted affect. Other clinical features leading to the progression into schizophrenia are not understood. Objective: To identify the prognostic value of specific symptoms at first psychiatric contact in predicting the progression of schizophreniform disorder to schizophrenia. Proposed Methodology: This is a retrospective study to be conducted at the Psychiatric Clinic of Hospital </w:t>
      </w:r>
      <w:proofErr w:type="spellStart"/>
      <w:r w:rsidRPr="00FB1B62">
        <w:t>Sultanah</w:t>
      </w:r>
      <w:proofErr w:type="spellEnd"/>
      <w:r w:rsidRPr="00FB1B62">
        <w:t xml:space="preserve"> </w:t>
      </w:r>
      <w:proofErr w:type="spellStart"/>
      <w:r w:rsidRPr="00FB1B62">
        <w:t>Aminah</w:t>
      </w:r>
      <w:proofErr w:type="spellEnd"/>
      <w:r w:rsidRPr="00FB1B62">
        <w:t xml:space="preserve">, Johor </w:t>
      </w:r>
      <w:proofErr w:type="spellStart"/>
      <w:r w:rsidRPr="00FB1B62">
        <w:t>Bahru</w:t>
      </w:r>
      <w:proofErr w:type="spellEnd"/>
      <w:r w:rsidRPr="00FB1B62">
        <w:t>, Malaysia. A random selection of patients with a diagnosis of schizophreniform disorder at first contact, from January 2010 to December 2016, will be included in the study. The selected patients will be categorised into two arms (1) Patients with full remission by 6 months who retain the status by 24 months and, (2) Patients who progress to schizophrenia. Patient information obtained will be compared between both arms utilizing: (1) clinical symptom checklist derived from the Positive and Negative Symptoms Scale; (2) Patient socio-demographic questionnaire. Expected outcome: Progression from schizophreniform disorder to schizophrenia could be predicted by specific clinical symptoms present at first contact. Clinical significance: Identifying predictive clinical symptoms will help clinicians distinguish patients at risk of evolving into schizophrenia. Close monitoring and specific interventional programs implemented for these patients could ensure a better diagnostic outcome.</w:t>
      </w:r>
    </w:p>
    <w:p w14:paraId="7CF72D2C" w14:textId="77777777" w:rsidR="0048524B" w:rsidRDefault="0048524B"/>
    <w:p w14:paraId="318CE280" w14:textId="1FC98073" w:rsidR="0048524B" w:rsidRDefault="0048524B">
      <w:r w:rsidRPr="002E1C1E">
        <w:rPr>
          <w:b/>
          <w:noProof/>
        </w:rPr>
        <w:t>Hui Ling</w:t>
      </w:r>
      <w:r w:rsidRPr="008357DE">
        <w:rPr>
          <w:b/>
        </w:rPr>
        <w:t xml:space="preserve"> </w:t>
      </w:r>
      <w:proofErr w:type="gramStart"/>
      <w:r w:rsidRPr="002E1C1E">
        <w:rPr>
          <w:b/>
          <w:noProof/>
        </w:rPr>
        <w:t>Thung</w:t>
      </w:r>
      <w:r w:rsidRPr="008357DE">
        <w:rPr>
          <w:b/>
        </w:rPr>
        <w:t xml:space="preserve"> </w:t>
      </w:r>
      <w:r>
        <w:rPr>
          <w:b/>
        </w:rPr>
        <w:t xml:space="preserve"> </w:t>
      </w:r>
      <w:r w:rsidRPr="008357DE">
        <w:t>(</w:t>
      </w:r>
      <w:proofErr w:type="gramEnd"/>
      <w:r>
        <w:rPr>
          <w:noProof/>
        </w:rPr>
        <w:t>Monash University Malaysia</w:t>
      </w:r>
      <w:r w:rsidR="00640D83">
        <w:t>)</w:t>
      </w:r>
    </w:p>
    <w:p w14:paraId="04DA2989" w14:textId="77777777" w:rsidR="0048524B" w:rsidRDefault="0048524B">
      <w:pPr>
        <w:rPr>
          <w:i/>
        </w:rPr>
      </w:pPr>
      <w:r w:rsidRPr="002E1C1E">
        <w:rPr>
          <w:i/>
          <w:noProof/>
        </w:rPr>
        <w:t>Detection of Depression Using Sentiment Analysis on Social Media: How machine learning can help prevent suicidal attempts</w:t>
      </w:r>
    </w:p>
    <w:p w14:paraId="407828DD" w14:textId="77777777" w:rsidR="0048524B" w:rsidRDefault="0048524B">
      <w:r>
        <w:rPr>
          <w:noProof/>
        </w:rPr>
        <w:t xml:space="preserve">Depression has been found to be a leading cause of suicide. Due to several factors, especially social norms, most people diagnosed with depression do not seek help, and when untreated, depression can lead to suicidal thoughts and actions. As people are increasingly reliant on social media platforms for disclosing emotions, there is potential for signs of depression to be identified via the language used on social media. Inspired by this phenomenon, this study aims to investigate how a machine-learning approach can be utilised for detecting indications of suicidal thoughts by social media users. Natural language processes will be used to analyse publicly available data to compare the machine classification of high-risk users and professional assessments of detected results. Several classification methods will be compared to yield a better performance. With a minimum of 200 posts collected, it is predicted that at least 60 per cent accuracy for the machine classification is secured. Finally, professional feedback for the real-time support provided by the machine after detection will also be discussed in this study. By examining the efficiency of the application in detecting users’ depression levels, this study will contribute to the understanding of machine </w:t>
      </w:r>
      <w:r>
        <w:rPr>
          <w:noProof/>
        </w:rPr>
        <w:lastRenderedPageBreak/>
        <w:t>learning used in health and wellbeing issues. Further interdisciplinary studies in this field are required to build upon current methods for detecting depression.</w:t>
      </w:r>
    </w:p>
    <w:p w14:paraId="5CC473AF" w14:textId="77777777" w:rsidR="0048524B" w:rsidRDefault="0048524B"/>
    <w:p w14:paraId="7796F2C3" w14:textId="22B2396C" w:rsidR="0048524B" w:rsidRDefault="0048524B">
      <w:r w:rsidRPr="002E1C1E">
        <w:rPr>
          <w:b/>
          <w:noProof/>
        </w:rPr>
        <w:t>Laura</w:t>
      </w:r>
      <w:r w:rsidRPr="008357DE">
        <w:rPr>
          <w:b/>
        </w:rPr>
        <w:t xml:space="preserve"> </w:t>
      </w:r>
      <w:r w:rsidRPr="002E1C1E">
        <w:rPr>
          <w:b/>
          <w:noProof/>
        </w:rPr>
        <w:t>Lagares Ballantine</w:t>
      </w:r>
      <w:r w:rsidRPr="008357DE">
        <w:rPr>
          <w:b/>
        </w:rPr>
        <w:t xml:space="preserve"> </w:t>
      </w:r>
      <w:r>
        <w:rPr>
          <w:b/>
        </w:rPr>
        <w:t xml:space="preserve"> </w:t>
      </w:r>
      <w:r w:rsidRPr="008357DE">
        <w:t>(</w:t>
      </w:r>
      <w:r>
        <w:rPr>
          <w:noProof/>
        </w:rPr>
        <w:t>University of Leeds</w:t>
      </w:r>
      <w:r w:rsidR="00640D83">
        <w:t>)</w:t>
      </w:r>
    </w:p>
    <w:p w14:paraId="74EC1C25" w14:textId="77777777" w:rsidR="0048524B" w:rsidRDefault="0048524B">
      <w:pPr>
        <w:rPr>
          <w:i/>
        </w:rPr>
      </w:pPr>
      <w:r w:rsidRPr="002E1C1E">
        <w:rPr>
          <w:i/>
          <w:noProof/>
        </w:rPr>
        <w:t>A Literature Review of Paediatric Supratentorial Ependymomas and Addressing the Gap in Genetic Diagnostic Testing</w:t>
      </w:r>
    </w:p>
    <w:p w14:paraId="2100BAA5" w14:textId="77777777" w:rsidR="0048524B" w:rsidRDefault="0048524B" w:rsidP="00AC7DBF">
      <w:pPr>
        <w:rPr>
          <w:noProof/>
        </w:rPr>
      </w:pPr>
      <w:r>
        <w:rPr>
          <w:noProof/>
        </w:rPr>
        <w:t>Ependymoma tumours (EPNs) arise from glial cells of the central nervous system and are the third most common paediatric brain tumour, constituting between 6 per cent and 12 per cent of paediatric brain tumours. Diagnosis usually comes from histopathological observations; however, there is difficulty distinguishing between EPNs of grade II and III. Identifying a genetic basis to underpin the diagnosis would lead to faster and targeted treatment. Of the paediatric EPNs, tumours located above the tentorium cerebelli (supratentorial) often present significantly more genetic aberrations, such as gene fusions, than those found in the posterior fossa, making these a natural first target for a genetic test.</w:t>
      </w:r>
    </w:p>
    <w:p w14:paraId="34050184" w14:textId="77777777" w:rsidR="0048524B" w:rsidRDefault="0048524B" w:rsidP="00AC7DBF">
      <w:pPr>
        <w:rPr>
          <w:noProof/>
        </w:rPr>
      </w:pPr>
      <w:r>
        <w:rPr>
          <w:noProof/>
        </w:rPr>
        <w:t>Of supratentorial paediatric EPNs, 70 per cent harbour a gene fusion between the V-Rel Avian Reticuloendotheliosis Viral Oncogene Homolog A (RELA) and the uncharacterised gene c11orf95. There are seven gene fusion variants; however, the fusion is most common between exon 2 of c11orf95 and exon 2 of RELA (Type 1) or exon 2 of c11orf95 with exon 3 of RELA (Type 2). Both fusions lead to constitutive activation of NF-kB transcription regulators, leading to uncontrollable cell proliferation and tumourigenesis.</w:t>
      </w:r>
    </w:p>
    <w:p w14:paraId="3F17F9EC" w14:textId="77777777" w:rsidR="0048524B" w:rsidRDefault="0048524B" w:rsidP="00AC7DBF">
      <w:pPr>
        <w:rPr>
          <w:noProof/>
        </w:rPr>
      </w:pPr>
      <w:r>
        <w:rPr>
          <w:noProof/>
        </w:rPr>
        <w:t>Another possible genetic target for EPNs is a fusion between Yes-Associated Protein 1 (YAP1) and Mastermind-like domain containing 1 (MAMLD1). This has been identified in the majority of RELA fusion-negative supratentorial EPNs.</w:t>
      </w:r>
    </w:p>
    <w:p w14:paraId="15DBABD4" w14:textId="77777777" w:rsidR="0048524B" w:rsidRDefault="0048524B">
      <w:r>
        <w:rPr>
          <w:noProof/>
        </w:rPr>
        <w:t>This literature review surrounding EPNs was carried out with a view to introduce a new genetic test to the Leeds Genetics Laboratory. Originally a reverse-transcriptase PCR test seemed most likely, although on reflection, the focus has now turned to Fluorescent In-Situ Hybridisation.</w:t>
      </w:r>
    </w:p>
    <w:p w14:paraId="275B965F" w14:textId="77777777" w:rsidR="0048524B" w:rsidRDefault="0048524B"/>
    <w:p w14:paraId="7FA47062" w14:textId="17752FF2" w:rsidR="0048524B" w:rsidRDefault="0048524B">
      <w:r w:rsidRPr="002E1C1E">
        <w:rPr>
          <w:b/>
          <w:noProof/>
        </w:rPr>
        <w:t>Shimal</w:t>
      </w:r>
      <w:r w:rsidRPr="008357DE">
        <w:rPr>
          <w:b/>
        </w:rPr>
        <w:t xml:space="preserve"> </w:t>
      </w:r>
      <w:r w:rsidRPr="002E1C1E">
        <w:rPr>
          <w:b/>
          <w:noProof/>
        </w:rPr>
        <w:t>Nemat,</w:t>
      </w:r>
      <w:r w:rsidRPr="008357DE">
        <w:rPr>
          <w:b/>
        </w:rPr>
        <w:t xml:space="preserve"> </w:t>
      </w:r>
      <w:r w:rsidRPr="002E1C1E">
        <w:rPr>
          <w:b/>
          <w:noProof/>
        </w:rPr>
        <w:t>Katie France and Ella Carter</w:t>
      </w:r>
      <w:r>
        <w:rPr>
          <w:b/>
        </w:rPr>
        <w:t xml:space="preserve"> </w:t>
      </w:r>
      <w:r w:rsidRPr="008357DE">
        <w:t>(</w:t>
      </w:r>
      <w:r>
        <w:rPr>
          <w:noProof/>
        </w:rPr>
        <w:t>University of Leeds</w:t>
      </w:r>
      <w:r w:rsidR="00640D83">
        <w:t>)</w:t>
      </w:r>
    </w:p>
    <w:p w14:paraId="62785071" w14:textId="77777777" w:rsidR="0048524B" w:rsidRDefault="0048524B">
      <w:pPr>
        <w:rPr>
          <w:i/>
        </w:rPr>
      </w:pPr>
      <w:r w:rsidRPr="002E1C1E">
        <w:rPr>
          <w:i/>
          <w:noProof/>
        </w:rPr>
        <w:t>Knowledge of Periodontal (Gum) Disease Among the General Public of Leeds</w:t>
      </w:r>
    </w:p>
    <w:p w14:paraId="3CB2EE2C" w14:textId="77777777" w:rsidR="0048524B" w:rsidRDefault="0048524B" w:rsidP="00AC7DBF">
      <w:pPr>
        <w:rPr>
          <w:noProof/>
        </w:rPr>
      </w:pPr>
      <w:r>
        <w:rPr>
          <w:noProof/>
        </w:rPr>
        <w:t>Periodontitis, an inflammatory condition affecting the periodontal tissues (gums), is a common dental disease that can result in premature tooth loss. As periodontal disease can, in most cases, be regarded as a preventable disease, strategies are paramount to reduce the global prevalence. International literature has investigated the public knowledge of periodontitis; however, there has been limited research conducted in England. Establishing any common disparities of knowledge will ensure future health education campaigns can target this. Therefore, our aim is to investigate the current periodontal knowledge in Leeds.</w:t>
      </w:r>
    </w:p>
    <w:p w14:paraId="3767CFC6" w14:textId="77777777" w:rsidR="0048524B" w:rsidRDefault="0048524B" w:rsidP="00AC7DBF">
      <w:pPr>
        <w:rPr>
          <w:noProof/>
        </w:rPr>
      </w:pPr>
      <w:r>
        <w:rPr>
          <w:noProof/>
        </w:rPr>
        <w:t>The study had 103 participants in total, aged 16+ from different locations in Leeds. Multiple-choice questionnaires were distributed, targeting different aspects of periodontal knowledge. Average scores were calculated and compared between demographics.</w:t>
      </w:r>
    </w:p>
    <w:p w14:paraId="249AA4D7" w14:textId="77777777" w:rsidR="0048524B" w:rsidRDefault="0048524B" w:rsidP="00AC7DBF">
      <w:pPr>
        <w:rPr>
          <w:noProof/>
        </w:rPr>
      </w:pPr>
      <w:r>
        <w:rPr>
          <w:noProof/>
        </w:rPr>
        <w:t xml:space="preserve">Participants received an average score of 62 per cent, performing best at questions concerning Prevention, Signs and Symptoms, and Treatment. The largest disparity was in knowledge of systemic </w:t>
      </w:r>
      <w:r>
        <w:rPr>
          <w:noProof/>
        </w:rPr>
        <w:lastRenderedPageBreak/>
        <w:t>conditions and their relationship with periodontal disease. There was a statistically significant difference in knowledge between all age categories [F (2100) = 6.20, p=0.03]. Participants 61 years and above achieved 46 per cent, a lower percentage compared to the 16–35yrs category (65 per cent). ‘Dental Professional’ or ‘Media’ (TV and Online) were the preferred methods for receiving information in the future.</w:t>
      </w:r>
    </w:p>
    <w:p w14:paraId="5BB291A3" w14:textId="77777777" w:rsidR="0048524B" w:rsidRDefault="0048524B" w:rsidP="00AC7DBF">
      <w:pPr>
        <w:rPr>
          <w:noProof/>
        </w:rPr>
      </w:pPr>
      <w:r>
        <w:rPr>
          <w:noProof/>
        </w:rPr>
        <w:t>We acknowledge smaller than expected sample size as a limitation. The significant differences in age category is consistent with previous literature. Findings in regard to common misconceptions and ‘preference of future information’ are innovative to the research base.</w:t>
      </w:r>
    </w:p>
    <w:p w14:paraId="6C8A09A1" w14:textId="77777777" w:rsidR="0048524B" w:rsidRDefault="0048524B">
      <w:r>
        <w:rPr>
          <w:noProof/>
        </w:rPr>
        <w:t xml:space="preserve"> Our study has illustrated significant differences between ages, common misconceptions and preference of future information. These findings will help public health education to address common misunderstandings and disparities of knowledge.</w:t>
      </w:r>
    </w:p>
    <w:p w14:paraId="06A06984" w14:textId="77777777" w:rsidR="0048524B" w:rsidRDefault="0048524B"/>
    <w:p w14:paraId="52FCA287" w14:textId="43DC469E" w:rsidR="0048524B" w:rsidRDefault="0048524B">
      <w:r w:rsidRPr="002E1C1E">
        <w:rPr>
          <w:b/>
          <w:noProof/>
        </w:rPr>
        <w:t>Emily</w:t>
      </w:r>
      <w:r w:rsidRPr="008357DE">
        <w:rPr>
          <w:b/>
        </w:rPr>
        <w:t xml:space="preserve"> </w:t>
      </w:r>
      <w:r w:rsidRPr="002E1C1E">
        <w:rPr>
          <w:b/>
          <w:noProof/>
        </w:rPr>
        <w:t>Dingley</w:t>
      </w:r>
      <w:r w:rsidRPr="008357DE">
        <w:rPr>
          <w:b/>
        </w:rPr>
        <w:t xml:space="preserve"> </w:t>
      </w:r>
      <w:r>
        <w:rPr>
          <w:b/>
        </w:rPr>
        <w:t xml:space="preserve"> </w:t>
      </w:r>
      <w:r w:rsidRPr="008357DE">
        <w:t>(</w:t>
      </w:r>
      <w:r>
        <w:rPr>
          <w:noProof/>
        </w:rPr>
        <w:t>University of Leeds</w:t>
      </w:r>
      <w:r w:rsidR="00640D83">
        <w:t>)</w:t>
      </w:r>
    </w:p>
    <w:p w14:paraId="40F3EA03" w14:textId="77777777" w:rsidR="0048524B" w:rsidRDefault="0048524B">
      <w:pPr>
        <w:rPr>
          <w:i/>
        </w:rPr>
      </w:pPr>
      <w:r w:rsidRPr="002E1C1E">
        <w:rPr>
          <w:i/>
          <w:noProof/>
        </w:rPr>
        <w:t>Dance Activator Programme – The benefits of a community dance programme to the physical and psychological wellbeing of socio-economically disadvantaged older adults</w:t>
      </w:r>
    </w:p>
    <w:p w14:paraId="68654E2D" w14:textId="77777777" w:rsidR="0048524B" w:rsidRDefault="0048524B">
      <w:r>
        <w:rPr>
          <w:noProof/>
        </w:rPr>
        <w:t>Physical inactivity and sedentary behaviour are a common problem in community-dwelling older adults (aged 55+ and living independently) and subsequently impact physical and psychological health and wellbeing. The Dance On Programme is a multi-disciplinary team project (One Dance UK, Yorkshire Dance and University of Leeds) that seeks to engage inactive socio-economically disadvantaged older adults in weekly dance sessions (two sessions per week for 90 minutes) across three different areas of Yorkshire (Leeds, Bradford and Doncaster). The research will involve collecting and analysing data at the start of the dance intervention and then follow-ups at three months, six months and twelve months to track the physical and psychological benefits of dance participation. We would expect to see benefits in physical wellbeing by improvements in physical activity levels (measured using accelerometers and short active lives questionnaire), balance and mobility (measured by timed up and go and falls efficacy scale). We would also expect to see improvements in psychological wellbeing by seeing improvements in cognitive function (measured by trial making tasks), social isolation/loneliness (measured by Duke’s social support index), and quality of life (measured by EQ-5D-3L). The Dance On Programme also aims to be rolled out nationally and potentially internationally by providing training and evidence of how to implement a dance programme in the community and how to track the benefits.</w:t>
      </w:r>
    </w:p>
    <w:p w14:paraId="1175136E" w14:textId="77777777" w:rsidR="0048524B" w:rsidRDefault="0048524B"/>
    <w:p w14:paraId="537718D5" w14:textId="02CCD071" w:rsidR="0048524B" w:rsidRDefault="0048524B">
      <w:r w:rsidRPr="002E1C1E">
        <w:rPr>
          <w:b/>
          <w:noProof/>
        </w:rPr>
        <w:t>Xu</w:t>
      </w:r>
      <w:r w:rsidRPr="008357DE">
        <w:rPr>
          <w:b/>
        </w:rPr>
        <w:t xml:space="preserve"> </w:t>
      </w:r>
      <w:r w:rsidRPr="002E1C1E">
        <w:rPr>
          <w:b/>
          <w:noProof/>
        </w:rPr>
        <w:t>Liangxin</w:t>
      </w:r>
      <w:r w:rsidRPr="008357DE">
        <w:rPr>
          <w:b/>
        </w:rPr>
        <w:t xml:space="preserve"> </w:t>
      </w:r>
      <w:r>
        <w:rPr>
          <w:b/>
        </w:rPr>
        <w:t xml:space="preserve"> </w:t>
      </w:r>
      <w:r w:rsidRPr="008357DE">
        <w:t>(</w:t>
      </w:r>
      <w:r>
        <w:rPr>
          <w:noProof/>
        </w:rPr>
        <w:t>University of Leeds</w:t>
      </w:r>
      <w:r w:rsidR="00640D83">
        <w:t>)</w:t>
      </w:r>
    </w:p>
    <w:p w14:paraId="1B009439" w14:textId="77777777" w:rsidR="0048524B" w:rsidRDefault="0048524B">
      <w:pPr>
        <w:rPr>
          <w:i/>
        </w:rPr>
      </w:pPr>
      <w:r w:rsidRPr="002E1C1E">
        <w:rPr>
          <w:i/>
          <w:noProof/>
        </w:rPr>
        <w:t>Loss of Water Phase From Casein Gels Under Gravity is not Correlated to Gel Firmness</w:t>
      </w:r>
    </w:p>
    <w:p w14:paraId="00431751" w14:textId="77777777" w:rsidR="0048524B" w:rsidRDefault="0048524B">
      <w:r>
        <w:rPr>
          <w:noProof/>
        </w:rPr>
        <w:t xml:space="preserve">The main requirement for milk processed in most cheese products is its rennet coagulation ability, which results in the formation of a gel – the main structural element of many products. Characterising the properties of the gel is important to understand the product quality. Currently, the formation of these products from skimmed milk powders is of interest due to the convenience of storing and transporting milk powder and its extended shelf life. Often in products where a soft solid is formed, the process of syneresis (the expulsion of a liquid from a gel) is observed. Under constant external conditions, this may be driven by gravitational forces or be due to intermolecular forces such as those during protein denaturation – for example, whey expelled during cheese making. </w:t>
      </w:r>
      <w:r>
        <w:rPr>
          <w:noProof/>
        </w:rPr>
        <w:lastRenderedPageBreak/>
        <w:t>Using a previously developed technique for monitoring the degree of syneresis in milk gels subjected to the gravity, we evaluate: fresh skimmed milk under low temperature, short time; fresh skimmed milk under high temperature, long time; and re-constituted skimmed milk powder. Syneresis is termed as the mechanism of whey segregation that is triggered by the means of contraction, which results into the rearrangement or restructure of casein matrix developed all through the enzymatic coagulation. There are a number of elements that are capable of impacting the syneresis mechanism. This research paper aims to report levels of observed syneresis over time from the various processing conditions of milk to assess the effect of milk gels made from fresh skimmed milk and skimmed milk powder. Rennet was used as gelling agents.</w:t>
      </w:r>
    </w:p>
    <w:p w14:paraId="28E23247" w14:textId="77777777" w:rsidR="0048524B" w:rsidRDefault="0048524B"/>
    <w:p w14:paraId="08AF9BF3" w14:textId="74CBA5A5" w:rsidR="0048524B" w:rsidRDefault="0048524B">
      <w:r w:rsidRPr="002E1C1E">
        <w:rPr>
          <w:b/>
          <w:noProof/>
        </w:rPr>
        <w:t>Anna</w:t>
      </w:r>
      <w:r w:rsidRPr="008357DE">
        <w:rPr>
          <w:b/>
        </w:rPr>
        <w:t xml:space="preserve"> </w:t>
      </w:r>
      <w:r w:rsidRPr="002E1C1E">
        <w:rPr>
          <w:b/>
          <w:noProof/>
        </w:rPr>
        <w:t>Garms</w:t>
      </w:r>
      <w:r w:rsidRPr="008357DE">
        <w:rPr>
          <w:b/>
        </w:rPr>
        <w:t xml:space="preserve"> </w:t>
      </w:r>
      <w:r>
        <w:rPr>
          <w:b/>
        </w:rPr>
        <w:t xml:space="preserve"> </w:t>
      </w:r>
      <w:r w:rsidRPr="008357DE">
        <w:t>(</w:t>
      </w:r>
      <w:r>
        <w:rPr>
          <w:noProof/>
        </w:rPr>
        <w:t>University of Leeds</w:t>
      </w:r>
      <w:r w:rsidR="00640D83">
        <w:t>)</w:t>
      </w:r>
    </w:p>
    <w:p w14:paraId="53FE6615" w14:textId="77777777" w:rsidR="0048524B" w:rsidRDefault="0048524B">
      <w:pPr>
        <w:rPr>
          <w:i/>
        </w:rPr>
      </w:pPr>
      <w:r w:rsidRPr="002E1C1E">
        <w:rPr>
          <w:i/>
          <w:noProof/>
        </w:rPr>
        <w:t>The Use of Sildenafil (Viagra) as a Potential Treatment for Nephrogenic Diabetes Insipidus</w:t>
      </w:r>
    </w:p>
    <w:p w14:paraId="619F254B" w14:textId="77777777" w:rsidR="0048524B" w:rsidRDefault="0048524B" w:rsidP="00AC7DBF">
      <w:pPr>
        <w:rPr>
          <w:noProof/>
        </w:rPr>
      </w:pPr>
      <w:r>
        <w:rPr>
          <w:noProof/>
        </w:rPr>
        <w:t>Nephrogenic diabetes insipidus (NDI), a debilitating condition with patients producing up to 20 litres of urine per day, occurs due to failure of the kidneys to respond to vasopressin, causing an inability to concentrate urine.</w:t>
      </w:r>
    </w:p>
    <w:p w14:paraId="31669D24" w14:textId="77777777" w:rsidR="0048524B" w:rsidRDefault="0048524B" w:rsidP="00AC7DBF">
      <w:pPr>
        <w:rPr>
          <w:noProof/>
        </w:rPr>
      </w:pPr>
      <w:r>
        <w:rPr>
          <w:noProof/>
        </w:rPr>
        <w:t>Vasopressin (an anti-diuretic hormone) stimulates intracellular events, leading to translocation of the aquaporin channel AQP2 to the apical membrane of the collecting duct principal cells, enabling water reabsorption. Additionally, binding of vasopressin increases transcription of AQP2, promoting long-term expression of the protein. In NDI the kidney cannot respond to vasopressin; however, an alternative pathway dependent on the signalling molecule cGMP can induceAQP2 translocation. Therefore drugs acting on this pathway, such as sildenafil, could also induce AQP2 translocation.</w:t>
      </w:r>
    </w:p>
    <w:p w14:paraId="48A74153" w14:textId="77777777" w:rsidR="0048524B" w:rsidRDefault="0048524B" w:rsidP="00AC7DBF">
      <w:pPr>
        <w:rPr>
          <w:noProof/>
        </w:rPr>
      </w:pPr>
      <w:r>
        <w:rPr>
          <w:noProof/>
        </w:rPr>
        <w:t>To test this hypothesis, mice cortical collecting duct cells were treated with sildenafil, vasopressin or a control medium. After incubation, immunocytochemistry was performed to establish the location of the AQP2 in the cell. Cells were studied using fluorescence and confocal microscopy.</w:t>
      </w:r>
    </w:p>
    <w:p w14:paraId="5381DF6C" w14:textId="77777777" w:rsidR="0048524B" w:rsidRDefault="0048524B" w:rsidP="00AC7DBF">
      <w:pPr>
        <w:rPr>
          <w:noProof/>
        </w:rPr>
      </w:pPr>
      <w:r>
        <w:rPr>
          <w:noProof/>
        </w:rPr>
        <w:t>Control cells had 53.5% (±3.5) AQP2 labelling in the top section; whereas vasopressin- and sildenafil-treated cells had significantly more, 86.2% (±3.6) and 86.9% (±2.4) respectively (n=9). This shows that sildenafil mimics vasopressin in the shuttling AQP2 to the apical membrane, enabling water reabsorption. However, unlike vasopressin, sildenafil did not increase AQP2 expression.</w:t>
      </w:r>
    </w:p>
    <w:p w14:paraId="38651D02" w14:textId="77777777" w:rsidR="0048524B" w:rsidRDefault="0048524B">
      <w:r>
        <w:rPr>
          <w:noProof/>
        </w:rPr>
        <w:t>Sildenafil is likely to be beneficial to patients with NDI, the effect of which may be enhanced if combined with an agent that increases AQP2 expression. An effective treatment could have implications for patients with NDI, significantly reducing urine output and increasing the quality of their lives.</w:t>
      </w:r>
    </w:p>
    <w:p w14:paraId="1A16A959" w14:textId="77777777" w:rsidR="0048524B" w:rsidRDefault="0048524B"/>
    <w:p w14:paraId="726B8A14" w14:textId="35B12770" w:rsidR="0048524B" w:rsidRDefault="0048524B">
      <w:r w:rsidRPr="002E1C1E">
        <w:rPr>
          <w:b/>
          <w:noProof/>
        </w:rPr>
        <w:t>Simona</w:t>
      </w:r>
      <w:r w:rsidRPr="008357DE">
        <w:rPr>
          <w:b/>
        </w:rPr>
        <w:t xml:space="preserve"> </w:t>
      </w:r>
      <w:r w:rsidRPr="002E1C1E">
        <w:rPr>
          <w:b/>
          <w:noProof/>
        </w:rPr>
        <w:t>Karpiciute</w:t>
      </w:r>
      <w:r w:rsidRPr="008357DE">
        <w:rPr>
          <w:b/>
        </w:rPr>
        <w:t xml:space="preserve"> </w:t>
      </w:r>
      <w:r>
        <w:rPr>
          <w:b/>
        </w:rPr>
        <w:t xml:space="preserve"> </w:t>
      </w:r>
      <w:r w:rsidRPr="008357DE">
        <w:t>(</w:t>
      </w:r>
      <w:r>
        <w:rPr>
          <w:noProof/>
        </w:rPr>
        <w:t>University of Leeds</w:t>
      </w:r>
      <w:r w:rsidR="00640D83">
        <w:t>)</w:t>
      </w:r>
    </w:p>
    <w:p w14:paraId="229D1DCC" w14:textId="77777777" w:rsidR="0048524B" w:rsidRDefault="0048524B">
      <w:pPr>
        <w:rPr>
          <w:i/>
        </w:rPr>
      </w:pPr>
      <w:r w:rsidRPr="002E1C1E">
        <w:rPr>
          <w:i/>
          <w:noProof/>
        </w:rPr>
        <w:t>The Impact of Different Sponsorship Disclosures on Advertising Recognition and Author’s Credibility on Instagram</w:t>
      </w:r>
    </w:p>
    <w:p w14:paraId="008CF0C2" w14:textId="77777777" w:rsidR="0048524B" w:rsidRDefault="0048524B" w:rsidP="00AC7DBF">
      <w:pPr>
        <w:rPr>
          <w:noProof/>
        </w:rPr>
      </w:pPr>
      <w:r>
        <w:rPr>
          <w:noProof/>
        </w:rPr>
        <w:t>Instagram is a worldwide-popular social media site based on photo sharing. Social media influencers are independent endorsers who influence audiences through their social media activity. Instagram influencer endorsements are becoming increasingly popular among brands to reach their customers.</w:t>
      </w:r>
    </w:p>
    <w:p w14:paraId="39FCE731" w14:textId="77777777" w:rsidR="0048524B" w:rsidRDefault="0048524B" w:rsidP="00AC7DBF">
      <w:pPr>
        <w:rPr>
          <w:noProof/>
        </w:rPr>
      </w:pPr>
      <w:r>
        <w:rPr>
          <w:noProof/>
        </w:rPr>
        <w:t xml:space="preserve">This study investigates and builds on the existing marketing literature by examining the effects different disclosure types have on advertising recognition and endorser’s credibility on Instagram. </w:t>
      </w:r>
      <w:r>
        <w:rPr>
          <w:noProof/>
        </w:rPr>
        <w:lastRenderedPageBreak/>
        <w:t>Four disclosure types were examined in this paper: #ad, #sponsored, #collaboration and ‘Paid partnership with’ badge. Research participants (n=103, 73% female, aged 18–24) were conveniently sampled, self-reported regular Instagram users. The participants were shown seven Instagram posts and asked questions regarding advertising recognition, author’s credibility, ability to recall the disclosure and disclosure clarity.</w:t>
      </w:r>
    </w:p>
    <w:p w14:paraId="363E1CCB" w14:textId="77777777" w:rsidR="0048524B" w:rsidRDefault="0048524B" w:rsidP="00AC7DBF">
      <w:pPr>
        <w:rPr>
          <w:noProof/>
        </w:rPr>
      </w:pPr>
      <w:r>
        <w:rPr>
          <w:noProof/>
        </w:rPr>
        <w:t>This study found that disclosures that had clear wording, were positioned in the post caption where users’ attention is often focused, and visually stood out from the background generated more advertising recognition, but resulted in lower source credibility. This could be because this kind of disclosure was not as explicit as the ones in comparable studies where more word-friendly channels were tested, hence participants might have perceived them as suspicious.</w:t>
      </w:r>
    </w:p>
    <w:p w14:paraId="07E35C76" w14:textId="77777777" w:rsidR="0048524B" w:rsidRDefault="0048524B">
      <w:r>
        <w:rPr>
          <w:noProof/>
        </w:rPr>
        <w:t>Advertising recognition is important to generate persuasion knowledge used to make informed decisions in the marketplace. The present study shows that advertising recognition can be manipulated through advertising disclosure position, saliency and language clarity. The findings suggest that consumer advocates should impose rules regarding these specific disclosure attributes to ensure the endorsement transparency and consumer rights protection.</w:t>
      </w:r>
    </w:p>
    <w:p w14:paraId="385EBDA2" w14:textId="77777777" w:rsidR="0048524B" w:rsidRDefault="0048524B"/>
    <w:p w14:paraId="259DD47B" w14:textId="64F06FEE" w:rsidR="0048524B" w:rsidRDefault="0048524B">
      <w:r w:rsidRPr="002E1C1E">
        <w:rPr>
          <w:b/>
          <w:noProof/>
        </w:rPr>
        <w:t>Thomas</w:t>
      </w:r>
      <w:r w:rsidRPr="008357DE">
        <w:rPr>
          <w:b/>
        </w:rPr>
        <w:t xml:space="preserve"> </w:t>
      </w:r>
      <w:r w:rsidRPr="002E1C1E">
        <w:rPr>
          <w:b/>
          <w:noProof/>
        </w:rPr>
        <w:t>Raistrick</w:t>
      </w:r>
      <w:r w:rsidRPr="008357DE">
        <w:rPr>
          <w:b/>
        </w:rPr>
        <w:t xml:space="preserve"> </w:t>
      </w:r>
      <w:r>
        <w:rPr>
          <w:b/>
        </w:rPr>
        <w:t xml:space="preserve"> </w:t>
      </w:r>
      <w:r w:rsidRPr="008357DE">
        <w:t>(</w:t>
      </w:r>
      <w:r>
        <w:rPr>
          <w:noProof/>
        </w:rPr>
        <w:t>University of Leeds</w:t>
      </w:r>
      <w:r w:rsidR="00640D83">
        <w:t>)</w:t>
      </w:r>
    </w:p>
    <w:p w14:paraId="32ED4A5A" w14:textId="77777777" w:rsidR="0048524B" w:rsidRDefault="0048524B">
      <w:pPr>
        <w:rPr>
          <w:i/>
        </w:rPr>
      </w:pPr>
      <w:r w:rsidRPr="002E1C1E">
        <w:rPr>
          <w:i/>
          <w:noProof/>
        </w:rPr>
        <w:t>Understanding Liquid Crystals That Stretch</w:t>
      </w:r>
    </w:p>
    <w:p w14:paraId="544A261A" w14:textId="77777777" w:rsidR="0048524B" w:rsidRDefault="0048524B" w:rsidP="00AC7DBF">
      <w:pPr>
        <w:rPr>
          <w:noProof/>
        </w:rPr>
      </w:pPr>
      <w:r>
        <w:rPr>
          <w:noProof/>
        </w:rPr>
        <w:t>Liquid crystal elastomers (LCEs) combine the anisotropy and orientational order of liquid crystals with the entropic elasticity and mechanical properties of polymer systems. LCEs display some unique phenomena including the formation of stripe domains[1], mechanical-Fréedericksz transitions (MFTs)[2], semi-soft elasticity (SSE)[1] and shape responsiveness to external stimuli[3]. Because of their unique properties, LCEs have far-reaching applications such as artificial muscles, soft actuators and rubber lasers. Theoretically, many of these properties have been described by Warner and Terentjev (W&amp;T). In these models, it is assumed that the order of the LCE is constant during a mechanical deformation. While some experimental findings agree with this assumption, there have been findings that show the order changes significantly during a mechanical deformation[4]. In our material we inferred the polymeric backbone order parameter can to change from +0.74±0.03 to  0.41±0.01 – i.e. it became negative, a counter-intuitive phenomenon that we have proposed to be the cause of the negative Poisson ratio found in our LCE system[4].</w:t>
      </w:r>
    </w:p>
    <w:p w14:paraId="3BA49142" w14:textId="77777777" w:rsidR="0048524B" w:rsidRDefault="0048524B">
      <w:r>
        <w:rPr>
          <w:noProof/>
        </w:rPr>
        <w:t>In previous works, the order parameter of LCEs has been inferred using polarised microscopy, X-ray diffraction and FTIR. Herein, Raman spectroscopy was used to determine the order parameters of an LCE undergoing a mechanical deformation. The value of this in the unstrained state was found to be +0.67 ± 0.05 and +0.28 ± 0.05 respectively. In the unstrained state, the values agree with those found using polarised microscopy. However, the strained values differ. We discuss this apparent disagreement and its consequences.</w:t>
      </w:r>
    </w:p>
    <w:p w14:paraId="33655457" w14:textId="77777777" w:rsidR="0048524B" w:rsidRDefault="0048524B"/>
    <w:p w14:paraId="51614C65" w14:textId="45C4F738" w:rsidR="0048524B" w:rsidRDefault="0048524B">
      <w:r w:rsidRPr="002E1C1E">
        <w:rPr>
          <w:b/>
          <w:noProof/>
        </w:rPr>
        <w:t>Holly</w:t>
      </w:r>
      <w:r w:rsidRPr="008357DE">
        <w:rPr>
          <w:b/>
        </w:rPr>
        <w:t xml:space="preserve"> </w:t>
      </w:r>
      <w:r w:rsidRPr="002E1C1E">
        <w:rPr>
          <w:b/>
          <w:noProof/>
        </w:rPr>
        <w:t>Clayphan-Taylor</w:t>
      </w:r>
      <w:r w:rsidRPr="008357DE">
        <w:rPr>
          <w:b/>
        </w:rPr>
        <w:t xml:space="preserve"> </w:t>
      </w:r>
      <w:r>
        <w:rPr>
          <w:b/>
        </w:rPr>
        <w:t xml:space="preserve"> </w:t>
      </w:r>
      <w:r w:rsidRPr="008357DE">
        <w:t>(</w:t>
      </w:r>
      <w:r>
        <w:rPr>
          <w:noProof/>
        </w:rPr>
        <w:t>University of Leeds</w:t>
      </w:r>
      <w:r w:rsidR="00640D83">
        <w:t>)</w:t>
      </w:r>
    </w:p>
    <w:p w14:paraId="1CBCA0C6" w14:textId="77777777" w:rsidR="0048524B" w:rsidRDefault="0048524B">
      <w:pPr>
        <w:rPr>
          <w:i/>
        </w:rPr>
      </w:pPr>
      <w:r w:rsidRPr="002E1C1E">
        <w:rPr>
          <w:i/>
          <w:noProof/>
        </w:rPr>
        <w:t>The Interaction Between Ecological Variation and Social Learning on the Occurrence of Culture</w:t>
      </w:r>
    </w:p>
    <w:p w14:paraId="0B709CDB" w14:textId="77777777" w:rsidR="0048524B" w:rsidRDefault="0048524B">
      <w:r>
        <w:rPr>
          <w:noProof/>
        </w:rPr>
        <w:t xml:space="preserve">The existence of culture in non-human animals is still being debated among zoologists and psychologists. It is accepted that social transmission, ecology and genetics can all lead to the same pattern of group-specific behaviours that appear to be culture, making it difficult to determine which </w:t>
      </w:r>
      <w:r>
        <w:rPr>
          <w:noProof/>
        </w:rPr>
        <w:lastRenderedPageBreak/>
        <w:t>is responsible in any given case. One approach in identifying culture is the method of exclusion, which attempts to remove ecology and genetics as factors to identify culture within a population. An alternative perspective on this is that these factors, or more, could be interacting with each other resulting in stronger cultural effects than each in isolation, i.e. the sum is greater than the individual parts. In this paper, culture was tested for by measuring the within-group homogeneity and among-group variation. Using an agent-based model, this study demonstrated that high levels of social learning and the presence of ecological variation resulted in higher within-group homogeneity and higher among-group variation and that these two factors had non-additive (interactive) effects on the observed level of culture. This reveals that social learning and ecology need not, and should not, be competing hypotheses but considered as interacting variables that contribute to culture. Here, several candidate cases of non-human culture are re-examined with this new perception. The implications of this non-additive effect from an evolutionary and ecological perspective are also discussed, particularly the use of prediction models to determine how species will react to environmental changes.</w:t>
      </w:r>
    </w:p>
    <w:p w14:paraId="7A3E37A0" w14:textId="77777777" w:rsidR="0048524B" w:rsidRDefault="0048524B"/>
    <w:p w14:paraId="417D8FB0" w14:textId="77777777" w:rsidR="00640D83" w:rsidRDefault="00640D83">
      <w:pPr>
        <w:rPr>
          <w:b/>
          <w:noProof/>
        </w:rPr>
      </w:pPr>
    </w:p>
    <w:p w14:paraId="3FE8EC90" w14:textId="7976112B" w:rsidR="0048524B" w:rsidRDefault="0048524B">
      <w:r w:rsidRPr="002E1C1E">
        <w:rPr>
          <w:b/>
          <w:noProof/>
        </w:rPr>
        <w:t>Lisa</w:t>
      </w:r>
      <w:r w:rsidRPr="008357DE">
        <w:rPr>
          <w:b/>
        </w:rPr>
        <w:t xml:space="preserve"> </w:t>
      </w:r>
      <w:r w:rsidRPr="002E1C1E">
        <w:rPr>
          <w:b/>
          <w:noProof/>
        </w:rPr>
        <w:t>Fielding</w:t>
      </w:r>
      <w:r w:rsidRPr="008357DE">
        <w:rPr>
          <w:b/>
        </w:rPr>
        <w:t xml:space="preserve"> </w:t>
      </w:r>
      <w:r>
        <w:rPr>
          <w:b/>
        </w:rPr>
        <w:t xml:space="preserve"> </w:t>
      </w:r>
      <w:r w:rsidRPr="008357DE">
        <w:t>(</w:t>
      </w:r>
      <w:r>
        <w:rPr>
          <w:noProof/>
        </w:rPr>
        <w:t>University of Leeds</w:t>
      </w:r>
      <w:r w:rsidR="00640D83">
        <w:t>)</w:t>
      </w:r>
    </w:p>
    <w:p w14:paraId="65C81877" w14:textId="77777777" w:rsidR="0048524B" w:rsidRDefault="0048524B">
      <w:pPr>
        <w:rPr>
          <w:i/>
        </w:rPr>
      </w:pPr>
      <w:r w:rsidRPr="002E1C1E">
        <w:rPr>
          <w:i/>
          <w:noProof/>
        </w:rPr>
        <w:t>Examining the Aspirations and Motivations of Key Stage 1 and Key Stage 2 Pupils for Future Life Paths and the Potential Factors That Influence These</w:t>
      </w:r>
    </w:p>
    <w:p w14:paraId="485F8A5C" w14:textId="77777777" w:rsidR="0048524B" w:rsidRDefault="0048524B" w:rsidP="00AC7DBF">
      <w:pPr>
        <w:rPr>
          <w:noProof/>
        </w:rPr>
      </w:pPr>
      <w:r>
        <w:rPr>
          <w:noProof/>
        </w:rPr>
        <w:t>This study sought to examine the aspirations and motivations of children in Key Stage 2. A creative methodology was employed, the chosen method engaged children with drawing their aspirations, followed by drawing their interpretation of a ‘life path’. This was modelled with a simple ‘life path’ drawing. The focus of this project was to research with children, allowing for ownership and an opportunity to express thoughts through drawing.</w:t>
      </w:r>
    </w:p>
    <w:p w14:paraId="144BD24D" w14:textId="77777777" w:rsidR="0048524B" w:rsidRDefault="0048524B" w:rsidP="00AC7DBF">
      <w:pPr>
        <w:rPr>
          <w:noProof/>
        </w:rPr>
      </w:pPr>
      <w:r>
        <w:rPr>
          <w:noProof/>
        </w:rPr>
        <w:t>Stage one involved researching with the children and encouraging them to draw their thoughts. Stage two focused on analysis. The children produced two drawings which were carefully analysed, looking for trends across their work and identifying any significance in their use of images.</w:t>
      </w:r>
    </w:p>
    <w:p w14:paraId="3BCF9682" w14:textId="77777777" w:rsidR="0048524B" w:rsidRDefault="0048524B" w:rsidP="00AC7DBF">
      <w:pPr>
        <w:rPr>
          <w:noProof/>
        </w:rPr>
      </w:pPr>
      <w:r>
        <w:rPr>
          <w:noProof/>
        </w:rPr>
        <w:t>Data collected highlights that children have clear ideas about aspiration. They largely discussed realistic, as opposed to fantasy, occupational aspirations, thought to be uncommon for this age group. As well as this, each child aspired to be happy.</w:t>
      </w:r>
    </w:p>
    <w:p w14:paraId="25CDDE75" w14:textId="77777777" w:rsidR="0048524B" w:rsidRDefault="0048524B" w:rsidP="00AC7DBF">
      <w:pPr>
        <w:rPr>
          <w:noProof/>
        </w:rPr>
      </w:pPr>
      <w:r>
        <w:rPr>
          <w:noProof/>
        </w:rPr>
        <w:t>The immediate impacts of this study, for the participants, include having an opportunity to think about their aspirations and what motivates them, and also their ‘life path’. It has also clearly highlighted the necessity of allowing children ownership of research carried out with them.</w:t>
      </w:r>
    </w:p>
    <w:p w14:paraId="65DBF130" w14:textId="77777777" w:rsidR="0048524B" w:rsidRDefault="0048524B">
      <w:r>
        <w:rPr>
          <w:noProof/>
        </w:rPr>
        <w:t>The results clearly demonstrate the need for further study in this age group, examining these thoughts on a larger scale, while also including a richness of data that cannot be achieved from more traditional methodologies. By continuing further research in this area, we could gain a rich insight into the way children perceive their place in society.</w:t>
      </w:r>
    </w:p>
    <w:p w14:paraId="41C0B19A" w14:textId="77777777" w:rsidR="0048524B" w:rsidRDefault="0048524B"/>
    <w:p w14:paraId="186A41C1" w14:textId="40CDA5C2" w:rsidR="0048524B" w:rsidRDefault="0048524B">
      <w:r w:rsidRPr="002E1C1E">
        <w:rPr>
          <w:b/>
          <w:noProof/>
        </w:rPr>
        <w:t>Noor</w:t>
      </w:r>
      <w:r w:rsidRPr="008357DE">
        <w:rPr>
          <w:b/>
        </w:rPr>
        <w:t xml:space="preserve"> </w:t>
      </w:r>
      <w:r w:rsidRPr="002E1C1E">
        <w:rPr>
          <w:b/>
          <w:noProof/>
        </w:rPr>
        <w:t>Rashdan</w:t>
      </w:r>
      <w:r w:rsidRPr="008357DE">
        <w:rPr>
          <w:b/>
        </w:rPr>
        <w:t xml:space="preserve"> </w:t>
      </w:r>
      <w:r>
        <w:rPr>
          <w:b/>
        </w:rPr>
        <w:t xml:space="preserve"> </w:t>
      </w:r>
      <w:r w:rsidRPr="008357DE">
        <w:t>(</w:t>
      </w:r>
      <w:r>
        <w:rPr>
          <w:noProof/>
        </w:rPr>
        <w:t>University of Leeds</w:t>
      </w:r>
      <w:r w:rsidR="00640D83">
        <w:t>)</w:t>
      </w:r>
    </w:p>
    <w:p w14:paraId="3F6956AA" w14:textId="77777777" w:rsidR="0048524B" w:rsidRDefault="0048524B">
      <w:pPr>
        <w:rPr>
          <w:i/>
        </w:rPr>
      </w:pPr>
      <w:r w:rsidRPr="002E1C1E">
        <w:rPr>
          <w:i/>
          <w:noProof/>
        </w:rPr>
        <w:t>The Kingdom of Bahrain: Perspectives, challenges and future possibilities of inclusive education</w:t>
      </w:r>
    </w:p>
    <w:p w14:paraId="472E9186" w14:textId="77777777" w:rsidR="0048524B" w:rsidRDefault="0048524B">
      <w:r>
        <w:rPr>
          <w:noProof/>
        </w:rPr>
        <w:lastRenderedPageBreak/>
        <w:t>Currently, Inclusive Education (IE) is an under-researched area in the Kingdom of Bahrain. Thus, regardless of the inclusive policies and legislations Bahrain has established and taken part in, there is a lack of validation over whether it is being successfully implemented or not. Through this research, I aim to explore IE through examining the different perspectives, challenges and future possibilities of this phenomena in my home country. This study includes 96 participants – including a policymaker, as well as parents and teachers of two mainstream schools, one special school and two special institutes. The research procedures included observations of the schools’ physical environment, as well as conducting questionnaires and interviews which sought participants’ attitudes and knowledge towards IE through the use of the Attitudes Towards Inclusive Education Scale (ATIES) and the Concerns about Integrated Education (CIE) scales. The findings of the study were analysed through the use of thematic analysis. The main findings show that the perspectives of the participants were a combination of the medical and social model of disability. While many encourage the inclusion of children with special educational needs (SEN) into mainstream education, others still demanded an increase in schools for children with SEN. The findings also established six main themes acting as barriers to IE: communication and collaboration between different bodies, physical impediment, support of higher authorities, weak model of assessment and education for children with SEN, professional development and, mostly, lack of awareness and negative attitudes. Results revealed the importance of removing the societal barriers through increasing awareness among individuals in the Bahraini society regarding inclusion and children with SEN.</w:t>
      </w:r>
    </w:p>
    <w:p w14:paraId="60918C62" w14:textId="77777777" w:rsidR="0048524B" w:rsidRDefault="0048524B"/>
    <w:p w14:paraId="4AC3691D" w14:textId="0169C0B0" w:rsidR="0048524B" w:rsidRDefault="0048524B">
      <w:r w:rsidRPr="002E1C1E">
        <w:rPr>
          <w:b/>
          <w:noProof/>
        </w:rPr>
        <w:t>Clare</w:t>
      </w:r>
      <w:r w:rsidRPr="008357DE">
        <w:rPr>
          <w:b/>
        </w:rPr>
        <w:t xml:space="preserve"> </w:t>
      </w:r>
      <w:r w:rsidRPr="002E1C1E">
        <w:rPr>
          <w:b/>
          <w:noProof/>
        </w:rPr>
        <w:t>Burgess</w:t>
      </w:r>
      <w:r w:rsidRPr="008357DE">
        <w:rPr>
          <w:b/>
        </w:rPr>
        <w:t xml:space="preserve"> </w:t>
      </w:r>
      <w:r>
        <w:rPr>
          <w:b/>
        </w:rPr>
        <w:t xml:space="preserve"> </w:t>
      </w:r>
      <w:r w:rsidRPr="008357DE">
        <w:t>(</w:t>
      </w:r>
      <w:r>
        <w:rPr>
          <w:noProof/>
        </w:rPr>
        <w:t>University of Leeds</w:t>
      </w:r>
      <w:r w:rsidR="00640D83">
        <w:t>)</w:t>
      </w:r>
    </w:p>
    <w:p w14:paraId="45A44B63" w14:textId="77777777" w:rsidR="0048524B" w:rsidRDefault="0048524B">
      <w:pPr>
        <w:rPr>
          <w:i/>
        </w:rPr>
      </w:pPr>
      <w:r w:rsidRPr="002E1C1E">
        <w:rPr>
          <w:i/>
          <w:noProof/>
        </w:rPr>
        <w:t>On the Barricades: The hidden history of women in the French Revolution</w:t>
      </w:r>
    </w:p>
    <w:p w14:paraId="4AECE43D" w14:textId="77777777" w:rsidR="0048524B" w:rsidRDefault="0048524B" w:rsidP="00AC7DBF">
      <w:pPr>
        <w:rPr>
          <w:noProof/>
        </w:rPr>
      </w:pPr>
      <w:r>
        <w:rPr>
          <w:noProof/>
        </w:rPr>
        <w:t>Could the French Revolution have succeeded without women? Why are the stories of the women of the French Revolution so often forgotten? These are the questions that this research aims to answer, combating the incredibly male-centric narrative which is so persistent when recounting the French Revolution. To do so, it will use the lives of six extraordinary women as a window into female participation in the Revolution. In theory, these six women will represent a broad cross-section of French society, and thus will not all come from one social class or political group. Most of the existing work on this subject focuses on the futility of these women’s struggle for rights, and their limited contribution to the Revolution, whereas this project intends to focus on the women themselves: their opinions, their impacts, their lives.</w:t>
      </w:r>
    </w:p>
    <w:p w14:paraId="7CFCD8BD" w14:textId="77777777" w:rsidR="0048524B" w:rsidRDefault="0048524B">
      <w:r>
        <w:rPr>
          <w:noProof/>
        </w:rPr>
        <w:t>Starting with the most basic of sources, the travel writings of women in France at the time – the works of Olympe de Gouges and Mary Wollstonecraft, for example – the research will eventually entail detailed study of archival material in both French and English, in Paris and in London and York. It is likely that the collections at the Bibliothéque de Marguerite Durand and the wider French National Archives, as well as the British Library’s collection of French Revolutionary Tracts, will constitute a large part of the source material. The intellectual writings of women such as Olympe de Gouges, along with the physical actions of other women and the participation of women of the third estate, are expected to prove essential to the course of the French Revolution. It is my intent to show just how essential women were to the French Revolution, and by extension, how essential they are to any revolution.</w:t>
      </w:r>
    </w:p>
    <w:p w14:paraId="0B13D009" w14:textId="77777777" w:rsidR="0048524B" w:rsidRDefault="0048524B"/>
    <w:p w14:paraId="1220A909" w14:textId="34B19221" w:rsidR="0048524B" w:rsidRDefault="0048524B">
      <w:r w:rsidRPr="002E1C1E">
        <w:rPr>
          <w:b/>
          <w:noProof/>
        </w:rPr>
        <w:t>Jenifer</w:t>
      </w:r>
      <w:r w:rsidRPr="008357DE">
        <w:rPr>
          <w:b/>
        </w:rPr>
        <w:t xml:space="preserve"> </w:t>
      </w:r>
      <w:r w:rsidRPr="002E1C1E">
        <w:rPr>
          <w:b/>
          <w:noProof/>
        </w:rPr>
        <w:t>Elmslie</w:t>
      </w:r>
      <w:r w:rsidRPr="008357DE">
        <w:rPr>
          <w:b/>
        </w:rPr>
        <w:t xml:space="preserve"> </w:t>
      </w:r>
      <w:r w:rsidRPr="002E1C1E">
        <w:rPr>
          <w:b/>
          <w:noProof/>
        </w:rPr>
        <w:t>and Alastair Watts</w:t>
      </w:r>
      <w:r>
        <w:rPr>
          <w:b/>
        </w:rPr>
        <w:t xml:space="preserve"> </w:t>
      </w:r>
      <w:r w:rsidRPr="008357DE">
        <w:t>(</w:t>
      </w:r>
      <w:r>
        <w:rPr>
          <w:noProof/>
        </w:rPr>
        <w:t>University of Warwick</w:t>
      </w:r>
      <w:r w:rsidR="00640D83">
        <w:t>)</w:t>
      </w:r>
    </w:p>
    <w:p w14:paraId="0A0187DA" w14:textId="77777777" w:rsidR="0048524B" w:rsidRDefault="0048524B">
      <w:pPr>
        <w:rPr>
          <w:i/>
        </w:rPr>
      </w:pPr>
      <w:r w:rsidRPr="002E1C1E">
        <w:rPr>
          <w:i/>
          <w:noProof/>
        </w:rPr>
        <w:lastRenderedPageBreak/>
        <w:t>Mental Health Culture: The statistical epidemic caused by the psychiatric revolution</w:t>
      </w:r>
    </w:p>
    <w:p w14:paraId="77C577E8" w14:textId="77777777" w:rsidR="0048524B" w:rsidRDefault="0048524B" w:rsidP="00AC7DBF">
      <w:pPr>
        <w:rPr>
          <w:noProof/>
        </w:rPr>
      </w:pPr>
      <w:r>
        <w:rPr>
          <w:noProof/>
        </w:rPr>
        <w:t>Are Western societies really less mentally healthy than in the past? Higher rates of mental illnesses including depression, ADHD (especially in children) and suicide rates have been recorded in most countries in the past 50 years. This research aims to provide a gap in academia by illuminating that mental health illnesses have risen not because of failed neoliberal policies but because of the psychiatric revolution. The popular misdirection of blame has led to the politicisation of mental health, exemplified by literature, including The Spirit Level, arguing that neoliberalism is detrimental to mental health (a ‘post hoc ergo propter hoc’ fallacy). The UK government is criticised for de-politicising the issue by under-funding mental health research, which is replaced by campaigns such as Heads Together.</w:t>
      </w:r>
    </w:p>
    <w:p w14:paraId="6D95E495" w14:textId="77777777" w:rsidR="0048524B" w:rsidRDefault="0048524B">
      <w:r>
        <w:rPr>
          <w:noProof/>
        </w:rPr>
        <w:t>Contrary to what this might imply without contextual analysis, this conclusion is false. This report intends to discover how the 1980s psychiatric revolution led to a false epidemic in mental health diagnoses, skewing empirical data. The research will employ documentary analysis by focusing on the USA’s Diagnostic and Statistical Manual of Mental Disorders (DSM) throughout time. It will explore the statistical increase in the number of people diagnosed with mental illnesses. Our research findings suggest that the DSM has brought light to mental health issues, but neoliberal policies are not causing a mental health epidemic. Our findings may prevent future research misallocating blame onto neoliberalism for rising mental health illnesses. Insufficient research has been conducted in this field. This research will attempt to debunk the mental health statistical epidemic and challenge sociological conclusions through a focus on literature, historical events, statistics and cultural trends.</w:t>
      </w:r>
    </w:p>
    <w:p w14:paraId="2A6F1826" w14:textId="77777777" w:rsidR="0048524B" w:rsidRDefault="0048524B"/>
    <w:p w14:paraId="02FE3290" w14:textId="79A4E713" w:rsidR="0048524B" w:rsidRDefault="0048524B">
      <w:r w:rsidRPr="002E1C1E">
        <w:rPr>
          <w:b/>
          <w:noProof/>
        </w:rPr>
        <w:t>Ross</w:t>
      </w:r>
      <w:r w:rsidRPr="008357DE">
        <w:rPr>
          <w:b/>
        </w:rPr>
        <w:t xml:space="preserve"> </w:t>
      </w:r>
      <w:r w:rsidRPr="002E1C1E">
        <w:rPr>
          <w:b/>
          <w:noProof/>
        </w:rPr>
        <w:t>Obukofe</w:t>
      </w:r>
      <w:r w:rsidRPr="008357DE">
        <w:rPr>
          <w:b/>
        </w:rPr>
        <w:t xml:space="preserve"> </w:t>
      </w:r>
      <w:r w:rsidRPr="002E1C1E">
        <w:rPr>
          <w:b/>
          <w:noProof/>
        </w:rPr>
        <w:t>and William Thomson</w:t>
      </w:r>
      <w:r>
        <w:rPr>
          <w:b/>
        </w:rPr>
        <w:t xml:space="preserve"> </w:t>
      </w:r>
      <w:r w:rsidRPr="008357DE">
        <w:t>(</w:t>
      </w:r>
      <w:r>
        <w:rPr>
          <w:noProof/>
        </w:rPr>
        <w:t>University of Warwick</w:t>
      </w:r>
      <w:r w:rsidR="00640D83">
        <w:t>)</w:t>
      </w:r>
    </w:p>
    <w:p w14:paraId="6CE68019" w14:textId="77777777" w:rsidR="0048524B" w:rsidRDefault="0048524B">
      <w:pPr>
        <w:rPr>
          <w:i/>
        </w:rPr>
      </w:pPr>
      <w:r w:rsidRPr="002E1C1E">
        <w:rPr>
          <w:i/>
          <w:noProof/>
        </w:rPr>
        <w:t>Does Heart Failure With Preserved Ejection Fraction Progress Through Stages? A three-year outcome study mapping NT-proBNP to increased clinical events</w:t>
      </w:r>
    </w:p>
    <w:p w14:paraId="61CD2B5B" w14:textId="77777777" w:rsidR="0048524B" w:rsidRDefault="0048524B" w:rsidP="00AC7DBF">
      <w:pPr>
        <w:rPr>
          <w:noProof/>
        </w:rPr>
      </w:pPr>
      <w:r>
        <w:rPr>
          <w:noProof/>
        </w:rPr>
        <w:t>Cardiovascular disease is the leading cause of mortality globally, and heart failure is a significant contributor to this. Heart failure with preserved ejection fraction (HFpEF) is now the predominant form of heart failure cases, yet, is not the focus of heart failure research. Continuing from the pilot study conducted by Banerjee et al. (2016), the objective of this study was to elucidate a clinical state before HFpEF; described as pre-HFpEF.</w:t>
      </w:r>
    </w:p>
    <w:p w14:paraId="17051E99" w14:textId="77777777" w:rsidR="0048524B" w:rsidRDefault="0048524B" w:rsidP="00AC7DBF">
      <w:pPr>
        <w:rPr>
          <w:noProof/>
        </w:rPr>
      </w:pPr>
      <w:r>
        <w:rPr>
          <w:noProof/>
        </w:rPr>
        <w:t>Method: This was a retrospective single-centre cohort study over two years. Patients were recruited based on primary attendance to a heart failure outpatient clinic in Coventry and pre-defined exclusionary criteria applied. The primary exclusionary criteria was evidence of heart failure or an ejection fraction &lt; 45%. NT-proBNP was used as a Biomarker for left ventricular (LV) stretch. Total cardiovascular and all-cause clinical events (admissions, deaths and length of stay) were reviewed at 36 months for comparison with NT-proBNP.</w:t>
      </w:r>
    </w:p>
    <w:p w14:paraId="3A739392" w14:textId="77777777" w:rsidR="0048524B" w:rsidRDefault="0048524B" w:rsidP="00AC7DBF">
      <w:pPr>
        <w:rPr>
          <w:noProof/>
        </w:rPr>
      </w:pPr>
      <w:r>
        <w:rPr>
          <w:noProof/>
        </w:rPr>
        <w:t>Results: 216 patients were included from the 1294 screened. Cardiac admissions, all-cause admissions, all-cause admissions plus deaths and the average length of stay for cardiac causes were shown to significantly increase alongside NT-proBNP. In addition, AF, valvular heart disease, pulmonary hypertension and previous TIA/strokes were shown to have statistically significant correlation with NT-proBNP levels.</w:t>
      </w:r>
    </w:p>
    <w:p w14:paraId="7EF12685" w14:textId="77777777" w:rsidR="0048524B" w:rsidRDefault="0048524B">
      <w:r>
        <w:rPr>
          <w:noProof/>
        </w:rPr>
        <w:t xml:space="preserve">Conclusion: Pre-HFpEF patients showed an NT-proBNP-dependant stepwise increase in poorer outcomes across all measures after three years. Furthermore, a stepwise increase was seen in </w:t>
      </w:r>
      <w:r>
        <w:rPr>
          <w:noProof/>
        </w:rPr>
        <w:lastRenderedPageBreak/>
        <w:t>prevalence of comorbidities as LV stretch increased. Aggressive management of highlighted comorbidities in pre-HFpEF patients could provide an avenue for target therapy.</w:t>
      </w:r>
    </w:p>
    <w:p w14:paraId="045FBE65" w14:textId="77777777" w:rsidR="0048524B" w:rsidRDefault="0048524B"/>
    <w:p w14:paraId="6817E8C1" w14:textId="62BCC0C2" w:rsidR="0048524B" w:rsidRDefault="0048524B">
      <w:r w:rsidRPr="002E1C1E">
        <w:rPr>
          <w:b/>
          <w:noProof/>
        </w:rPr>
        <w:t>Thomas</w:t>
      </w:r>
      <w:r w:rsidRPr="008357DE">
        <w:rPr>
          <w:b/>
        </w:rPr>
        <w:t xml:space="preserve"> </w:t>
      </w:r>
      <w:r w:rsidRPr="002E1C1E">
        <w:rPr>
          <w:b/>
          <w:noProof/>
        </w:rPr>
        <w:t>Archbold</w:t>
      </w:r>
      <w:r w:rsidRPr="008357DE">
        <w:rPr>
          <w:b/>
        </w:rPr>
        <w:t xml:space="preserve"> </w:t>
      </w:r>
      <w:r>
        <w:rPr>
          <w:b/>
        </w:rPr>
        <w:t xml:space="preserve"> </w:t>
      </w:r>
      <w:r w:rsidRPr="008357DE">
        <w:t>(</w:t>
      </w:r>
      <w:r>
        <w:rPr>
          <w:noProof/>
        </w:rPr>
        <w:t>University of Warwick</w:t>
      </w:r>
      <w:r w:rsidR="00640D83">
        <w:t>)</w:t>
      </w:r>
    </w:p>
    <w:p w14:paraId="78491990" w14:textId="77777777" w:rsidR="0048524B" w:rsidRDefault="0048524B">
      <w:pPr>
        <w:rPr>
          <w:i/>
        </w:rPr>
      </w:pPr>
      <w:r w:rsidRPr="002E1C1E">
        <w:rPr>
          <w:i/>
          <w:noProof/>
        </w:rPr>
        <w:t>Computational Universality and the Applications of Cellular Automata</w:t>
      </w:r>
    </w:p>
    <w:p w14:paraId="2766A745" w14:textId="77777777" w:rsidR="0048524B" w:rsidRDefault="0048524B">
      <w:r>
        <w:rPr>
          <w:noProof/>
        </w:rPr>
        <w:t>Cellular automata are discrete models with the ability not only to give rise to beautiful, intricate patterns but also to be used as powerful tools of computation, with applications in cryptography, error-correction coding and simulation of computer processors, to name a few. They also raise profound questions about the nature of our reality, asking whether our universe could be one such automaton. This paper provides a discussion into these automata, exploring the various power and limitations of a number of specific rule sets, covering John Conway’s well-known ‘Game of Life’ to the more obscure ‘Langton’s ant’ and ‘Wireworld’. In particular, it explores the notion of computational universality, or Turing completeness – an automaton’s ability to simulate any conceivable computation – and considers their potential in the context of solving two specific problems, the Firing Squad Synchronisation Problem and the Majority Problem. Existing solutions to these problems are explored and their existing avenues for optimisation are discussed. In order to fully appreciate the complex structures that can arise from such simple beginnings, this project also presents software to visualise and probe further into the nature of the automata highlighted.</w:t>
      </w:r>
    </w:p>
    <w:p w14:paraId="282BC295" w14:textId="77777777" w:rsidR="0048524B" w:rsidRDefault="0048524B"/>
    <w:p w14:paraId="31D490AB" w14:textId="5798542F" w:rsidR="0048524B" w:rsidRDefault="0048524B">
      <w:r w:rsidRPr="002E1C1E">
        <w:rPr>
          <w:b/>
          <w:noProof/>
        </w:rPr>
        <w:t>Jasmine</w:t>
      </w:r>
      <w:r w:rsidRPr="008357DE">
        <w:rPr>
          <w:b/>
        </w:rPr>
        <w:t xml:space="preserve"> </w:t>
      </w:r>
      <w:r w:rsidRPr="002E1C1E">
        <w:rPr>
          <w:b/>
          <w:noProof/>
        </w:rPr>
        <w:t>Zanelli</w:t>
      </w:r>
      <w:r w:rsidRPr="008357DE">
        <w:rPr>
          <w:b/>
        </w:rPr>
        <w:t xml:space="preserve"> </w:t>
      </w:r>
      <w:r>
        <w:rPr>
          <w:b/>
        </w:rPr>
        <w:t xml:space="preserve"> </w:t>
      </w:r>
      <w:r w:rsidRPr="008357DE">
        <w:t>(</w:t>
      </w:r>
      <w:r>
        <w:rPr>
          <w:noProof/>
        </w:rPr>
        <w:t>University of Warwick</w:t>
      </w:r>
      <w:r w:rsidR="00640D83">
        <w:t>)</w:t>
      </w:r>
    </w:p>
    <w:p w14:paraId="42BEAEFC" w14:textId="77777777" w:rsidR="0048524B" w:rsidRDefault="0048524B">
      <w:pPr>
        <w:rPr>
          <w:i/>
        </w:rPr>
      </w:pPr>
      <w:r w:rsidRPr="002E1C1E">
        <w:rPr>
          <w:i/>
          <w:noProof/>
        </w:rPr>
        <w:t>The Neurobiology of Romantic Love: A literature review</w:t>
      </w:r>
    </w:p>
    <w:p w14:paraId="284BE299" w14:textId="77777777" w:rsidR="0048524B" w:rsidRDefault="0048524B" w:rsidP="00AC7DBF">
      <w:pPr>
        <w:rPr>
          <w:noProof/>
        </w:rPr>
      </w:pPr>
      <w:r>
        <w:rPr>
          <w:noProof/>
        </w:rPr>
        <w:t>Through examination of the pre-existing literature, this review aims to prove that romantic love has basis in the biological and is not a social construct. It also demonstrates the potential impacts on conditions such as autism, social anxiety and addiction. These conditions are all examples of where parts of the neurological processes of love are altered. Autism is a developmental disability that affects how people interact with others – including romantic prospects. In a similar vein, drug addiction occurs due to a hijacking of a neurobiology, which is usually used for a more natural addiction – addiction to a mate. Understanding the basis of love could help to overcome these issues.</w:t>
      </w:r>
    </w:p>
    <w:p w14:paraId="0240D463" w14:textId="77777777" w:rsidR="0048524B" w:rsidRDefault="0048524B">
      <w:r>
        <w:rPr>
          <w:noProof/>
        </w:rPr>
        <w:t>These matters were studied through systematic investigation of the current data in the field, giving a comprehensive narrative of the theories surrounding romantic love and its clinical impacts. The review explores everything from activities of voles, drug addicts and married couples. Through the study of these relationships, it touches on theories of the origins of love. These theories follow the timeline of relationships and include (a) the so-called ‘love peptides’ oxytocin and vasopressin, which may be involved in the initial feelings, (b) love as a natural addiction as feelings develop and (c) the theory of how love may alter neuroanatomy long-term allowing for long-term monogamy and successful marriages. This review concludes that with further study these ideas could be applied clinically; logic being if we can understand what is right, we can help when it goes wrong.</w:t>
      </w:r>
    </w:p>
    <w:p w14:paraId="0C20946A" w14:textId="77777777" w:rsidR="0048524B" w:rsidRDefault="0048524B"/>
    <w:p w14:paraId="58EA4DB2" w14:textId="5024508E" w:rsidR="0048524B" w:rsidRDefault="0048524B">
      <w:r w:rsidRPr="002E1C1E">
        <w:rPr>
          <w:b/>
          <w:noProof/>
        </w:rPr>
        <w:t>Bethany</w:t>
      </w:r>
      <w:r w:rsidRPr="008357DE">
        <w:rPr>
          <w:b/>
        </w:rPr>
        <w:t xml:space="preserve"> </w:t>
      </w:r>
      <w:r w:rsidRPr="002E1C1E">
        <w:rPr>
          <w:b/>
          <w:noProof/>
        </w:rPr>
        <w:t>Hill</w:t>
      </w:r>
      <w:r w:rsidRPr="008357DE">
        <w:rPr>
          <w:b/>
        </w:rPr>
        <w:t xml:space="preserve"> </w:t>
      </w:r>
      <w:r>
        <w:rPr>
          <w:b/>
        </w:rPr>
        <w:t xml:space="preserve"> </w:t>
      </w:r>
      <w:r w:rsidRPr="008357DE">
        <w:t>(</w:t>
      </w:r>
      <w:r>
        <w:rPr>
          <w:noProof/>
        </w:rPr>
        <w:t>University of Warwick</w:t>
      </w:r>
      <w:r w:rsidR="00640D83">
        <w:t>)</w:t>
      </w:r>
    </w:p>
    <w:p w14:paraId="2FB3966C" w14:textId="77777777" w:rsidR="0048524B" w:rsidRDefault="0048524B">
      <w:pPr>
        <w:rPr>
          <w:i/>
        </w:rPr>
      </w:pPr>
      <w:r w:rsidRPr="002E1C1E">
        <w:rPr>
          <w:i/>
          <w:noProof/>
        </w:rPr>
        <w:t>Breaking a Dogma in Biology</w:t>
      </w:r>
    </w:p>
    <w:p w14:paraId="179E85F4" w14:textId="77777777" w:rsidR="0048524B" w:rsidRDefault="0048524B" w:rsidP="00AC7DBF">
      <w:pPr>
        <w:rPr>
          <w:noProof/>
        </w:rPr>
      </w:pPr>
      <w:r>
        <w:rPr>
          <w:noProof/>
        </w:rPr>
        <w:lastRenderedPageBreak/>
        <w:t>It is currently thought that the only influence on our sex is that of genes received from our parents. However, to date there has been limited research to investigate this widely accepted belief. Initial experimentation has identified that external environmental factors (temperature, overcrowding and food availability) can alter the sex of the offspring, but the mechanism as to how this works is still to be fully understood. Epigenetics (alterations that turn genes on and off but do not alter the DNA sequence) is another route by which information can be transferred from mother to offspring, and is being increasingly investigated as having a part to play in heritable characteristics. Research in this area has unfortunately been constrained, in part due to the lack of a robust modelling system. However, Auanema freiburgensis, a species of nematode (roundworm), provides a suitable investigational system with precise conditions, including: tightly controlled environments, observance of rapid maternal response and easily distinguishable progeny. These conditions enable a deeper understanding of sex-determination in relation to epigenetics.</w:t>
      </w:r>
    </w:p>
    <w:p w14:paraId="37859784" w14:textId="77777777" w:rsidR="0048524B" w:rsidRDefault="0048524B">
      <w:r>
        <w:rPr>
          <w:noProof/>
        </w:rPr>
        <w:t>The aim of my project is to determine the molecular mechanisms that produce offspring directly related to different environmental factors in the maternal environment. It will be investigated whether changes in the germline correlate with changes to the mother. This will involve using antibody immunostaining – a laboratory technique used to identify alterations to DNA. This exciting research has the potential to break and rewrite fundamental rules in biology that state only reproductive cells can transmit information to the offspring.</w:t>
      </w:r>
    </w:p>
    <w:p w14:paraId="1B126D6F" w14:textId="77777777" w:rsidR="0048524B" w:rsidRDefault="0048524B"/>
    <w:p w14:paraId="2CFD03EE" w14:textId="74A56120" w:rsidR="0048524B" w:rsidRDefault="0048524B">
      <w:r w:rsidRPr="002E1C1E">
        <w:rPr>
          <w:b/>
          <w:noProof/>
        </w:rPr>
        <w:t>Ines Elena</w:t>
      </w:r>
      <w:r w:rsidRPr="008357DE">
        <w:rPr>
          <w:b/>
        </w:rPr>
        <w:t xml:space="preserve"> </w:t>
      </w:r>
      <w:r w:rsidRPr="002E1C1E">
        <w:rPr>
          <w:b/>
          <w:noProof/>
        </w:rPr>
        <w:t>Lopez-Serrano</w:t>
      </w:r>
      <w:r w:rsidRPr="008357DE">
        <w:rPr>
          <w:b/>
        </w:rPr>
        <w:t xml:space="preserve"> </w:t>
      </w:r>
      <w:r>
        <w:rPr>
          <w:b/>
        </w:rPr>
        <w:t xml:space="preserve"> </w:t>
      </w:r>
      <w:r w:rsidRPr="008357DE">
        <w:t>(</w:t>
      </w:r>
      <w:r>
        <w:rPr>
          <w:noProof/>
        </w:rPr>
        <w:t>University of Warwick</w:t>
      </w:r>
      <w:r w:rsidR="00640D83">
        <w:t>)</w:t>
      </w:r>
    </w:p>
    <w:p w14:paraId="018C9BAE" w14:textId="77777777" w:rsidR="0048524B" w:rsidRDefault="0048524B">
      <w:pPr>
        <w:rPr>
          <w:i/>
        </w:rPr>
      </w:pPr>
      <w:r w:rsidRPr="002E1C1E">
        <w:rPr>
          <w:i/>
          <w:noProof/>
        </w:rPr>
        <w:t>Human Rights or Protectionism? The labour–trade linkage in the mid-twentieth-century British Trade Union movement</w:t>
      </w:r>
    </w:p>
    <w:p w14:paraId="0A3D0A00" w14:textId="77777777" w:rsidR="0048524B" w:rsidRDefault="0048524B">
      <w:r>
        <w:rPr>
          <w:noProof/>
        </w:rPr>
        <w:t>The appalling state of labour standards in developing countries has sparked debate as to whose duty it is to protect these workers. Should international trade be premised on upholding labour standards? Current literature only focuses on the movement to introduce a social clause in international multilateral trade agreements in the early 1950s and 1990s onwards. This paper traces the unexplored views of the Trades Union Congress and British Government on the labour–trade linkage. It also goes further than current literature as it focuses on the unstudied period between the formation of the General Agreement on Tariffs and Trade in 1948 and the United Kingdom’s entrance in the European Economic Community in 1973. This paper uses the extensive Trades Union Congress archives, General Agreement on Tariffs and Trade archives and the International Confederation of Free Trade Unions in Warwick’s Modern Records Centre (minutes, bulletins, reports, correspondence and paper cuttings between 1947 and 1973). I argue that the labour–trade linkage’s discourse in Britain has evolved over time, shifting from a mainly economic self-interested concern to an issue of workers’ solidarity and human rights. Moreover, the issue is framed differently depending on the actor and on the arena. The view of the Trades Union Congress does not always match that of the government, and it is framed differently in international trade agreements and in international trade union organisations, even as it shifts through time. Thus, this paper elucidates how the labour–trade linkage is a loaded proposition where motives are far from straightforward.</w:t>
      </w:r>
    </w:p>
    <w:p w14:paraId="62B566C9" w14:textId="77777777" w:rsidR="0048524B" w:rsidRDefault="0048524B"/>
    <w:p w14:paraId="6435089E" w14:textId="22BFB8D1" w:rsidR="0048524B" w:rsidRDefault="0048524B">
      <w:r w:rsidRPr="002E1C1E">
        <w:rPr>
          <w:b/>
          <w:noProof/>
        </w:rPr>
        <w:t>Sarah</w:t>
      </w:r>
      <w:r w:rsidRPr="008357DE">
        <w:rPr>
          <w:b/>
        </w:rPr>
        <w:t xml:space="preserve"> </w:t>
      </w:r>
      <w:r w:rsidRPr="002E1C1E">
        <w:rPr>
          <w:b/>
          <w:noProof/>
        </w:rPr>
        <w:t>Staniforth</w:t>
      </w:r>
      <w:r w:rsidRPr="008357DE">
        <w:rPr>
          <w:b/>
        </w:rPr>
        <w:t xml:space="preserve"> </w:t>
      </w:r>
      <w:r>
        <w:rPr>
          <w:b/>
        </w:rPr>
        <w:t xml:space="preserve"> </w:t>
      </w:r>
      <w:r w:rsidRPr="008357DE">
        <w:t>(</w:t>
      </w:r>
      <w:r>
        <w:rPr>
          <w:noProof/>
        </w:rPr>
        <w:t>University of Warwick</w:t>
      </w:r>
      <w:r w:rsidR="00640D83">
        <w:t>)</w:t>
      </w:r>
    </w:p>
    <w:p w14:paraId="61988497" w14:textId="77777777" w:rsidR="0048524B" w:rsidRDefault="0048524B">
      <w:pPr>
        <w:rPr>
          <w:i/>
        </w:rPr>
      </w:pPr>
      <w:r w:rsidRPr="002E1C1E">
        <w:rPr>
          <w:i/>
          <w:noProof/>
        </w:rPr>
        <w:t>Autism and Mental Health in Higher Education</w:t>
      </w:r>
    </w:p>
    <w:p w14:paraId="332383FA" w14:textId="77777777" w:rsidR="0048524B" w:rsidRDefault="0048524B" w:rsidP="00AC7DBF">
      <w:pPr>
        <w:rPr>
          <w:noProof/>
        </w:rPr>
      </w:pPr>
      <w:r>
        <w:rPr>
          <w:noProof/>
        </w:rPr>
        <w:lastRenderedPageBreak/>
        <w:t>Student mental health has become a talking point in recent years in the United Kingdom in the light of growing public awareness surrounding mental health and the increasing marketisation of the higher education sector. Existing research suggests that autistic students have a higher incidence of mental health difficulties than their neurotypical counterparts (Van Hees et al., 2015). However, until now, no in-depth studies focusing on the mental health of autistic students have been conducted.</w:t>
      </w:r>
    </w:p>
    <w:p w14:paraId="748ACF9B" w14:textId="77777777" w:rsidR="0048524B" w:rsidRDefault="0048524B" w:rsidP="00AC7DBF">
      <w:pPr>
        <w:rPr>
          <w:noProof/>
        </w:rPr>
      </w:pPr>
      <w:r>
        <w:rPr>
          <w:noProof/>
        </w:rPr>
        <w:t>Taking a critical autism studies approach, my poster presents data collected through in-depth interviews with six autistic university students to address this gap in the literature. I explore two primary concerns: firstly, the impact that university has on the mental health of autistic students, and secondly, the coping strategies they utilise while at university.</w:t>
      </w:r>
    </w:p>
    <w:p w14:paraId="0C4B5995" w14:textId="77777777" w:rsidR="0048524B" w:rsidRDefault="0048524B" w:rsidP="00AC7DBF">
      <w:pPr>
        <w:rPr>
          <w:noProof/>
        </w:rPr>
      </w:pPr>
      <w:r>
        <w:rPr>
          <w:noProof/>
        </w:rPr>
        <w:t>The results of my research suggest that university life poses a variety of challenges to students with autism, which may exacerbate pre-existing mental health difficulties or trigger their onset. Furthermore, autistic university students report feeling under-supported at university, indicating that policy changes need to be considered in order to better support this population.</w:t>
      </w:r>
    </w:p>
    <w:p w14:paraId="41B86EBD" w14:textId="77777777" w:rsidR="0048524B" w:rsidRDefault="0048524B">
      <w:r>
        <w:rPr>
          <w:noProof/>
        </w:rPr>
        <w:t>Finally, experiences of disability-related discrimination were a prevalent theme in the interviews, demonstrating the importance of taking into consideration the wider societal context within which autistic students’ experiences of mental health are situated. By underlining the significance of structural ableism, I challenge the prevailing medical paradigm of autistic mental health, and in doing so make an original contribution to the emerging field of critical autism studies.</w:t>
      </w:r>
    </w:p>
    <w:p w14:paraId="5B7D18AF" w14:textId="77777777" w:rsidR="0048524B" w:rsidRDefault="0048524B"/>
    <w:p w14:paraId="6928CB1D" w14:textId="1F87DAF6" w:rsidR="0048524B" w:rsidRDefault="0048524B">
      <w:r w:rsidRPr="002E1C1E">
        <w:rPr>
          <w:b/>
          <w:noProof/>
        </w:rPr>
        <w:t>Olurotimi</w:t>
      </w:r>
      <w:r w:rsidRPr="008357DE">
        <w:rPr>
          <w:b/>
        </w:rPr>
        <w:t xml:space="preserve"> </w:t>
      </w:r>
      <w:r w:rsidRPr="002E1C1E">
        <w:rPr>
          <w:b/>
          <w:noProof/>
        </w:rPr>
        <w:t>Sanusi</w:t>
      </w:r>
      <w:r w:rsidRPr="008357DE">
        <w:rPr>
          <w:b/>
        </w:rPr>
        <w:t xml:space="preserve"> </w:t>
      </w:r>
      <w:r>
        <w:rPr>
          <w:b/>
        </w:rPr>
        <w:t xml:space="preserve"> </w:t>
      </w:r>
      <w:r w:rsidRPr="008357DE">
        <w:t>(</w:t>
      </w:r>
      <w:r>
        <w:rPr>
          <w:noProof/>
        </w:rPr>
        <w:t>University of Warwick</w:t>
      </w:r>
      <w:r w:rsidR="00640D83">
        <w:t>)</w:t>
      </w:r>
    </w:p>
    <w:p w14:paraId="5D04F3B2" w14:textId="77777777" w:rsidR="0048524B" w:rsidRDefault="0048524B">
      <w:pPr>
        <w:rPr>
          <w:i/>
        </w:rPr>
      </w:pPr>
      <w:r w:rsidRPr="002E1C1E">
        <w:rPr>
          <w:i/>
          <w:noProof/>
        </w:rPr>
        <w:t>What are the Physiological Roles of Adiponectin Receptors in the Adrenal Glands and Their Implications on Obesity and Diabetes Mellitus Type II?</w:t>
      </w:r>
    </w:p>
    <w:p w14:paraId="2205DD8A" w14:textId="77777777" w:rsidR="0048524B" w:rsidRDefault="0048524B" w:rsidP="00AC7DBF">
      <w:pPr>
        <w:rPr>
          <w:noProof/>
        </w:rPr>
      </w:pPr>
      <w:r>
        <w:rPr>
          <w:noProof/>
        </w:rPr>
        <w:t>Obesity is associated with several endocrine (hormonal) disorders pertaining to excess or deficient adrenal functionality. Hyperactivity of the hypothalamus–pituitary–adrenal (HPA) axis and, consequently, increased cortisol secretion has been implicated in obesity. Human fat is a highly active endocrine tissue, as evidenced by signalling molecules (adipokines) isolated from adipocytes (fat cells) that stimulate adrenal synthesis of steroid hormones. Adiponectin, an abundant adipokine within the blood circulatory system, orchestrates its effects by binding to its cognate adrenal receptors: AdipoR1 and AdipoR2. The effects of the adiponectin-receptor complex are suspected to interplay with the manifestation of endocrine disorders such as diabetes mellitus type II on top of obesity.</w:t>
      </w:r>
    </w:p>
    <w:p w14:paraId="5610C3DC" w14:textId="77777777" w:rsidR="0048524B" w:rsidRDefault="0048524B" w:rsidP="00AC7DBF">
      <w:pPr>
        <w:rPr>
          <w:noProof/>
        </w:rPr>
      </w:pPr>
      <w:r>
        <w:rPr>
          <w:noProof/>
        </w:rPr>
        <w:t>Through investigation in the clinical science research building at University Hospital Coventry, I enquired into the direct functional interaction of adiponectin and its receptors on adrenal cells. Research on the genes regulated by adiponectin was central to interpreting its physiological role. This included understanding the expression and function of the different subtypes of adiponectin receptors. AdipoR1/2 mediate signal transductions involving specific ligands such as PPAR-α in addition to the mediation of glucose and fatty acid metabolism. Transductions in the form of the phosphorylation of AMPK and MAPK (intracellular proteins) are found to have involvement in energy homeostasis, cell proliferation and gene expression.</w:t>
      </w:r>
    </w:p>
    <w:p w14:paraId="5C36A8C2" w14:textId="77777777" w:rsidR="0048524B" w:rsidRDefault="0048524B">
      <w:r>
        <w:rPr>
          <w:noProof/>
        </w:rPr>
        <w:t>Exploring the role AdipoR1/2 could result in novel insights into how the obesity epidemic can be tackled. Within a therapeutic context, implications may relate to adiponectin’s differential modulation of insulin action and the treatment for type II diabetes and other metabolic disorders.</w:t>
      </w:r>
    </w:p>
    <w:p w14:paraId="37F51283" w14:textId="77777777" w:rsidR="0048524B" w:rsidRDefault="0048524B"/>
    <w:p w14:paraId="4FD404FB" w14:textId="0D94AE57" w:rsidR="0048524B" w:rsidRDefault="0048524B">
      <w:r w:rsidRPr="002E1C1E">
        <w:rPr>
          <w:b/>
          <w:noProof/>
        </w:rPr>
        <w:t>Thomas</w:t>
      </w:r>
      <w:r w:rsidRPr="008357DE">
        <w:rPr>
          <w:b/>
        </w:rPr>
        <w:t xml:space="preserve"> </w:t>
      </w:r>
      <w:r w:rsidRPr="002E1C1E">
        <w:rPr>
          <w:b/>
          <w:noProof/>
        </w:rPr>
        <w:t>Johnston</w:t>
      </w:r>
      <w:r w:rsidRPr="008357DE">
        <w:rPr>
          <w:b/>
        </w:rPr>
        <w:t xml:space="preserve"> </w:t>
      </w:r>
      <w:r>
        <w:rPr>
          <w:b/>
        </w:rPr>
        <w:t xml:space="preserve"> </w:t>
      </w:r>
      <w:r w:rsidRPr="008357DE">
        <w:t>(</w:t>
      </w:r>
      <w:r>
        <w:rPr>
          <w:noProof/>
        </w:rPr>
        <w:t>University of Warwick</w:t>
      </w:r>
      <w:r w:rsidR="00640D83">
        <w:t>)</w:t>
      </w:r>
    </w:p>
    <w:p w14:paraId="13CFDF69" w14:textId="77777777" w:rsidR="0048524B" w:rsidRDefault="0048524B">
      <w:pPr>
        <w:rPr>
          <w:i/>
        </w:rPr>
      </w:pPr>
      <w:r w:rsidRPr="002E1C1E">
        <w:rPr>
          <w:i/>
          <w:noProof/>
        </w:rPr>
        <w:t>Impact of Mature Student Learning Journeys on Teaching and Learning, and Curriculum Development</w:t>
      </w:r>
    </w:p>
    <w:p w14:paraId="28BA8AE6" w14:textId="77777777" w:rsidR="0048524B" w:rsidRDefault="0048524B">
      <w:r>
        <w:rPr>
          <w:noProof/>
        </w:rPr>
        <w:t>The Centre for Lifelong Learning (CLL) at the University of Warwick provides opportunities for mature students to achieve their personal and professional goals. Mature undergraduates enrolling for BA degrees split into full-time Social Science students and part-time Arts students. Their learning journeys are diverse, complicated and challenging. A better understanding of student learning journeys could lead to improvements in teaching and learning, help develop a curriculum to fit mature students’ academic and pastoral needs and possibly increase student enrolment. The focus of the research was to investigate whether it was possible to create a useful classification of student learning journeys followed by a comparison of the journeys of Arts and Social Science students. A pilot classification was developed from discussions with academics at UALL and SCUTREA conferences and with student colleagues. Four student learning journeys emerged: Late Starters [A], Determined Dreamers [B], Career Changers [C] and Stayers [D]. CLL students were interviewed for one hour. Most students spanned two categories. For Social Science students, First Adulthood (Sheehy, 1996), the most common combination was [AB] which identifies someone with a poor educational start and low economic prospects; for them, a ‘degree will change everything’. For Arts students [BD] was the most frequent, Second Adulthood (Sheehy, 1996), suggesting a culture of learning for pleasure; for them, a ‘degree is unlikely to change anything’. However, from ‘Never Too Late To Learn’ (2012), they will have the satisfaction of learning new things, expanding personal horizons, realising true potential and setting a good example to friends and family.</w:t>
      </w:r>
    </w:p>
    <w:p w14:paraId="176F6589" w14:textId="77777777" w:rsidR="0048524B" w:rsidRDefault="0048524B"/>
    <w:p w14:paraId="2796F34A" w14:textId="050C256B" w:rsidR="0048524B" w:rsidRDefault="0048524B">
      <w:r w:rsidRPr="002E1C1E">
        <w:rPr>
          <w:b/>
          <w:noProof/>
        </w:rPr>
        <w:t>Samuel</w:t>
      </w:r>
      <w:r w:rsidRPr="008357DE">
        <w:rPr>
          <w:b/>
        </w:rPr>
        <w:t xml:space="preserve"> </w:t>
      </w:r>
      <w:r w:rsidRPr="002E1C1E">
        <w:rPr>
          <w:b/>
          <w:noProof/>
        </w:rPr>
        <w:t>Colman</w:t>
      </w:r>
      <w:r w:rsidRPr="008357DE">
        <w:rPr>
          <w:b/>
        </w:rPr>
        <w:t xml:space="preserve"> </w:t>
      </w:r>
      <w:r>
        <w:rPr>
          <w:b/>
        </w:rPr>
        <w:t xml:space="preserve"> </w:t>
      </w:r>
      <w:r w:rsidRPr="008357DE">
        <w:t>(</w:t>
      </w:r>
      <w:r>
        <w:rPr>
          <w:noProof/>
        </w:rPr>
        <w:t>University of Warwick</w:t>
      </w:r>
      <w:r w:rsidR="00640D83">
        <w:t>)</w:t>
      </w:r>
    </w:p>
    <w:p w14:paraId="65003266" w14:textId="77777777" w:rsidR="0048524B" w:rsidRDefault="0048524B">
      <w:pPr>
        <w:rPr>
          <w:i/>
        </w:rPr>
      </w:pPr>
      <w:r w:rsidRPr="002E1C1E">
        <w:rPr>
          <w:i/>
          <w:noProof/>
        </w:rPr>
        <w:t>Opportunity or Oppression? An analysis of China’s ‘win–win’ business investment in Africa within the context of the development aid/investment debate</w:t>
      </w:r>
    </w:p>
    <w:p w14:paraId="539A6F0F" w14:textId="77777777" w:rsidR="0048524B" w:rsidRDefault="0048524B" w:rsidP="00AC7DBF">
      <w:pPr>
        <w:rPr>
          <w:noProof/>
        </w:rPr>
      </w:pPr>
      <w:r>
        <w:rPr>
          <w:noProof/>
        </w:rPr>
        <w:t>G7 countries continue to provide large quantities of development aid to Africa. This traditional model of international aid has faced increasing competition from large-scale Chinese investment in several African economies over the past decade. These business contracts are based around an ‘infrastructure-for-resources’ premise, not necessarily enabling African countries to realise de facto, as well as de jure, independence and self-reliance. There is much contention over whether Chinese business investment truly promotes mutual development. Many North American and European media outlets describe this investment as ‘rogue aid’ and ‘chopstick mercantilism’, serving to promote neo-colonialism in Africa. My research examines whether China’s investment in Africa can be described as ‘win–win’ for both parties, and the impact this has on current discourse concerning foreign aid in Africa.</w:t>
      </w:r>
    </w:p>
    <w:p w14:paraId="66A383E3" w14:textId="77777777" w:rsidR="0048524B" w:rsidRDefault="0048524B">
      <w:r>
        <w:rPr>
          <w:noProof/>
        </w:rPr>
        <w:t>A review of relevant literature, including observers such as Bräutigam, Van Staden, Carey and Xiaoyun and secondary data on foreign aid and Chinese investment, form the basis of this analysis. The paper questions whether it is fair to describe Chinese development deals as a new form of twenty-first century imperialism that exploits the economic opportunity offered by Africa. It also examines the global south’s increasing relevance within the world economic structure due to the rise in bolstered African economies from Chinese investment. The implications of the Sino-African connection as an emerging contender to the dominant US presence in world trade is considered alongside an evaluation of its rhetoric of solidarity and cooperation.</w:t>
      </w:r>
    </w:p>
    <w:p w14:paraId="2A079BD2" w14:textId="77777777" w:rsidR="0048524B" w:rsidRDefault="0048524B"/>
    <w:p w14:paraId="00F1808A" w14:textId="40B427DC" w:rsidR="0048524B" w:rsidRDefault="0048524B">
      <w:r w:rsidRPr="002E1C1E">
        <w:rPr>
          <w:b/>
          <w:noProof/>
        </w:rPr>
        <w:t>Thomas</w:t>
      </w:r>
      <w:r w:rsidRPr="008357DE">
        <w:rPr>
          <w:b/>
        </w:rPr>
        <w:t xml:space="preserve"> </w:t>
      </w:r>
      <w:r w:rsidRPr="002E1C1E">
        <w:rPr>
          <w:b/>
          <w:noProof/>
        </w:rPr>
        <w:t>Shortland</w:t>
      </w:r>
      <w:r w:rsidRPr="008357DE">
        <w:rPr>
          <w:b/>
        </w:rPr>
        <w:t xml:space="preserve"> </w:t>
      </w:r>
      <w:r w:rsidRPr="002E1C1E">
        <w:rPr>
          <w:b/>
          <w:noProof/>
        </w:rPr>
        <w:t>and Jacques Cornwell</w:t>
      </w:r>
      <w:r>
        <w:rPr>
          <w:b/>
        </w:rPr>
        <w:t xml:space="preserve"> </w:t>
      </w:r>
      <w:r w:rsidRPr="008357DE">
        <w:t>(</w:t>
      </w:r>
      <w:r>
        <w:rPr>
          <w:noProof/>
        </w:rPr>
        <w:t>University of Warwick</w:t>
      </w:r>
      <w:r w:rsidR="00640D83">
        <w:t>)</w:t>
      </w:r>
    </w:p>
    <w:p w14:paraId="4BDCD8EB" w14:textId="77777777" w:rsidR="0048524B" w:rsidRDefault="0048524B">
      <w:pPr>
        <w:rPr>
          <w:i/>
        </w:rPr>
      </w:pPr>
      <w:r w:rsidRPr="002E1C1E">
        <w:rPr>
          <w:i/>
          <w:noProof/>
        </w:rPr>
        <w:t>The Effects of Rudeness on Hospital Staff</w:t>
      </w:r>
    </w:p>
    <w:p w14:paraId="727A7E58" w14:textId="77777777" w:rsidR="0048524B" w:rsidRDefault="0048524B">
      <w:r>
        <w:rPr>
          <w:noProof/>
        </w:rPr>
        <w:t>Recent research suggests that rudeness in a healthcare setting harms staff and patients. To investigate these claims and study the effects of rudeness on healthcare staff, staff in four different departments at the University Hospitals Coventry &amp; Warwickshire were asked to fill out a questionnaire. Data was collected from 1 to 31 December 2017, and 87 questionnaires were completed in total: 49 from the Emergency Department, 6 from Cardiology, 16 from Pharmacy and 16 from the theatres. The quantitative data was then analysed with descriptive statistics and thematic analysis performed for the qualitative data. Results showed that as a result of rudeness, 70% of staff decreased their work effort, 34% said they decreased the time spent at work, 55% decreased the quality of their work, 64% said that their commitment to the Trust declined, 13% called in sick because of the uncivil treatment, 77% took their feelings out at home, 61% decreased assistance to their co-workers and 23% reported decreasing assistance to patients. Analysis of the qualitative data showed that rudeness caused staff to avoid other colleagues, be personally upset and not perform to the best of their capabilities. Such results may potentially not only harm staff but also patients. Weaknesses of the study were the differences in response rate between departments and whether it was rudeness between staff that was being measured or between staff and patients. Healthcare organisations and medicine as a whole should work to make rudeness less common in the workplace.</w:t>
      </w:r>
    </w:p>
    <w:p w14:paraId="604DEC81" w14:textId="77777777" w:rsidR="0048524B" w:rsidRDefault="0048524B"/>
    <w:p w14:paraId="2876F87E" w14:textId="2D3E0B98" w:rsidR="0048524B" w:rsidRDefault="0048524B">
      <w:r w:rsidRPr="002E1C1E">
        <w:rPr>
          <w:b/>
          <w:noProof/>
        </w:rPr>
        <w:t>Stepan</w:t>
      </w:r>
      <w:r w:rsidRPr="008357DE">
        <w:rPr>
          <w:b/>
        </w:rPr>
        <w:t xml:space="preserve"> </w:t>
      </w:r>
      <w:r w:rsidRPr="002E1C1E">
        <w:rPr>
          <w:b/>
          <w:noProof/>
        </w:rPr>
        <w:t>Marek</w:t>
      </w:r>
      <w:r w:rsidRPr="008357DE">
        <w:rPr>
          <w:b/>
        </w:rPr>
        <w:t xml:space="preserve"> </w:t>
      </w:r>
      <w:r>
        <w:rPr>
          <w:b/>
        </w:rPr>
        <w:t xml:space="preserve"> </w:t>
      </w:r>
      <w:r w:rsidRPr="008357DE">
        <w:t>(</w:t>
      </w:r>
      <w:r>
        <w:rPr>
          <w:noProof/>
        </w:rPr>
        <w:t>University of Warwick</w:t>
      </w:r>
      <w:r w:rsidR="00640D83">
        <w:t>)</w:t>
      </w:r>
    </w:p>
    <w:p w14:paraId="7727B543" w14:textId="77777777" w:rsidR="0048524B" w:rsidRDefault="0048524B">
      <w:pPr>
        <w:rPr>
          <w:i/>
        </w:rPr>
      </w:pPr>
      <w:r w:rsidRPr="002E1C1E">
        <w:rPr>
          <w:i/>
          <w:noProof/>
        </w:rPr>
        <w:t>Spin Waves in Gadolinium Gallium Garnet</w:t>
      </w:r>
    </w:p>
    <w:p w14:paraId="4961D415" w14:textId="77777777" w:rsidR="0048524B" w:rsidRDefault="0048524B">
      <w:r>
        <w:rPr>
          <w:noProof/>
        </w:rPr>
        <w:t>Gadolinium gallium garnet (GGG) is a magnetic material existing on a specific lattice causing a geometrical frustration. In this type of frustration, the geometry of the lattice of the material does not allow for a unique ground state of the system to occur, which results in interesting properties such as big residual entropy even at lowest experimentally achievable temperatures. The behaviour of such materials at the lowest temperatures is not very well understood and is partially addressed in this project. More specifically, the behaviour of spin waves, which can transfer energy in this material, is studied here. The spin waves do not permeate throughout the lattice of GGG unimpeded; in fact, they are localised to small closed rings in the lattice structure, composed of ten atoms. In this research, we try to develop quantum field approach to the description of the spin waves. We view the waves as quasi-particles and try to develop rules that govern their motion and interactions.</w:t>
      </w:r>
    </w:p>
    <w:p w14:paraId="49121680" w14:textId="77777777" w:rsidR="0048524B" w:rsidRDefault="0048524B"/>
    <w:p w14:paraId="55F6036A" w14:textId="46D9725C" w:rsidR="0048524B" w:rsidRDefault="0048524B">
      <w:r w:rsidRPr="002E1C1E">
        <w:rPr>
          <w:b/>
          <w:noProof/>
        </w:rPr>
        <w:t>Isla</w:t>
      </w:r>
      <w:r w:rsidRPr="008357DE">
        <w:rPr>
          <w:b/>
        </w:rPr>
        <w:t xml:space="preserve"> </w:t>
      </w:r>
      <w:r w:rsidRPr="002E1C1E">
        <w:rPr>
          <w:b/>
          <w:noProof/>
        </w:rPr>
        <w:t>Stroyan</w:t>
      </w:r>
      <w:r w:rsidRPr="008357DE">
        <w:rPr>
          <w:b/>
        </w:rPr>
        <w:t xml:space="preserve"> </w:t>
      </w:r>
      <w:r>
        <w:rPr>
          <w:b/>
        </w:rPr>
        <w:t xml:space="preserve"> </w:t>
      </w:r>
      <w:r w:rsidRPr="008357DE">
        <w:t>(</w:t>
      </w:r>
      <w:r>
        <w:rPr>
          <w:noProof/>
        </w:rPr>
        <w:t>University of Warwick</w:t>
      </w:r>
      <w:r w:rsidR="00640D83">
        <w:t>)</w:t>
      </w:r>
    </w:p>
    <w:p w14:paraId="59EDEE52" w14:textId="77777777" w:rsidR="0048524B" w:rsidRDefault="0048524B">
      <w:pPr>
        <w:rPr>
          <w:i/>
        </w:rPr>
      </w:pPr>
      <w:r w:rsidRPr="002E1C1E">
        <w:rPr>
          <w:i/>
          <w:noProof/>
        </w:rPr>
        <w:t>Food For Thought: An ethnographic analysis of communicative practices in a UK foodbank</w:t>
      </w:r>
    </w:p>
    <w:p w14:paraId="17DCA073" w14:textId="77777777" w:rsidR="0048524B" w:rsidRDefault="0048524B" w:rsidP="00AC7DBF">
      <w:pPr>
        <w:rPr>
          <w:noProof/>
        </w:rPr>
      </w:pPr>
      <w:r>
        <w:rPr>
          <w:noProof/>
        </w:rPr>
        <w:t xml:space="preserve">The Trussell Trust is a foodbank charity that gives emergency food provision to people who are in crisis, with around 1.3 million food parcels given out last year. Clients are referred to a foodbank by a range of agencies including Citizens Advice, general practitioners and the police for reasons including debt, domestic abuse or simply having a low income. The charity relies on around 40,000 volunteers across the UK to help run the foodbanks. There has been a rise in foodbank use year on year since </w:t>
      </w:r>
      <w:r>
        <w:rPr>
          <w:noProof/>
        </w:rPr>
        <w:lastRenderedPageBreak/>
        <w:t>2008, which highlights an increasingly important context for human interaction between volunteers and clients of foodbanks.</w:t>
      </w:r>
    </w:p>
    <w:p w14:paraId="06041B65" w14:textId="77777777" w:rsidR="0048524B" w:rsidRDefault="0048524B" w:rsidP="00AC7DBF">
      <w:pPr>
        <w:rPr>
          <w:noProof/>
        </w:rPr>
      </w:pPr>
      <w:r>
        <w:rPr>
          <w:noProof/>
        </w:rPr>
        <w:t>Many of those who come to a foodbank feel ashamed and embarrassed about needing support (Garthwaite, 2016a; Williams et al., 2016). Therefore, as a volunteer ethnographer, this research sought to add insights into the types of communication strategies used by volunteers and clients to help reduce such feelings of shame and stigma. Across two foodbanks, 31 hours were spent as a participant observer, using detailed and descriptive diary entries to assess communication strategies between volunteers and clients.</w:t>
      </w:r>
    </w:p>
    <w:p w14:paraId="669BAD55" w14:textId="77777777" w:rsidR="0048524B" w:rsidRDefault="0048524B">
      <w:r>
        <w:rPr>
          <w:noProof/>
        </w:rPr>
        <w:t>The research found that humour, storytelling and forming relational bonds were useful tools that volunteers adopted to help reduce feelings of shame and stigma among clients. It showed that the majority of volunteers were keen to make clients feel as comfortable as possible, although there were some volunteers who harboured negative attitudes towards people they saw as ‘undeserving’ of help, which did little to reduce clients’ feelings of shame. This research adds to the growing body of work on British foodbanks by giving an understanding of foodbanks from a communication perspective. It aims to help shape public policy through ethnography by ‘examining the structures of meaning that inform the lives of those in poverty and those who “serve” them’ (Curtis, 1997, p. 224). Using these results, a training document has been produced for volunteers to help improve their communication processes, so clients are able to feel as dignified as possible.</w:t>
      </w:r>
    </w:p>
    <w:p w14:paraId="7D558631" w14:textId="77777777" w:rsidR="0048524B" w:rsidRDefault="0048524B"/>
    <w:p w14:paraId="550A10B8" w14:textId="1D878FC9" w:rsidR="0048524B" w:rsidRDefault="0048524B">
      <w:r w:rsidRPr="002E1C1E">
        <w:rPr>
          <w:b/>
          <w:noProof/>
        </w:rPr>
        <w:t>Rebecca</w:t>
      </w:r>
      <w:r w:rsidRPr="008357DE">
        <w:rPr>
          <w:b/>
        </w:rPr>
        <w:t xml:space="preserve"> </w:t>
      </w:r>
      <w:r w:rsidRPr="002E1C1E">
        <w:rPr>
          <w:b/>
          <w:noProof/>
        </w:rPr>
        <w:t>Rolfe</w:t>
      </w:r>
      <w:r w:rsidRPr="008357DE">
        <w:rPr>
          <w:b/>
        </w:rPr>
        <w:t xml:space="preserve"> </w:t>
      </w:r>
      <w:r>
        <w:rPr>
          <w:b/>
        </w:rPr>
        <w:t xml:space="preserve"> </w:t>
      </w:r>
      <w:r w:rsidRPr="008357DE">
        <w:t>(</w:t>
      </w:r>
      <w:r>
        <w:rPr>
          <w:noProof/>
        </w:rPr>
        <w:t>University of Warwick</w:t>
      </w:r>
      <w:r w:rsidR="00640D83">
        <w:t>)</w:t>
      </w:r>
    </w:p>
    <w:p w14:paraId="7E3033B0" w14:textId="77777777" w:rsidR="0048524B" w:rsidRDefault="0048524B">
      <w:pPr>
        <w:rPr>
          <w:i/>
        </w:rPr>
      </w:pPr>
      <w:r w:rsidRPr="002E1C1E">
        <w:rPr>
          <w:i/>
          <w:noProof/>
        </w:rPr>
        <w:t>The Animal Tokens of Rome</w:t>
      </w:r>
    </w:p>
    <w:p w14:paraId="1A3BE6C5" w14:textId="77777777" w:rsidR="0048524B" w:rsidRDefault="0048524B" w:rsidP="00AC7DBF">
      <w:pPr>
        <w:rPr>
          <w:noProof/>
        </w:rPr>
      </w:pPr>
      <w:r>
        <w:rPr>
          <w:noProof/>
        </w:rPr>
        <w:t>Animal tokens are little studied, coin-like objects from across the imperial period of the Roman Empire (27BC to AD284) that depict diverse images from livestock to wild animals such as elephants. This research focused specifically on the use of animal tokens pertaining to entertainment, including the games and chariot racing, central activities within Roman society. Since animal tokens were common items, and used over such a large expanse of time, the research is important to reveal information about everyday life in the Roman empire.</w:t>
      </w:r>
    </w:p>
    <w:p w14:paraId="0710C28D" w14:textId="77777777" w:rsidR="0048524B" w:rsidRDefault="0048524B">
      <w:r>
        <w:rPr>
          <w:noProof/>
        </w:rPr>
        <w:t>The animal tokens within the British Museum’s collection were examined and then compared to other depictions of animals across the Roman world, in both art and literature, in order to discern patterns indicating their usage and provide wider context to the importance of animals in Roman society. A number of similar images to those on the animal tokens were discovered – for example, a horse with a palm branch is seen on both a wax seal and on an animal token, indicating victory in a chariot race, while elephants are common on animal tokens and coins celebrating the games. This suggests animal tokens were commemorative items for special games, for example, those to celebrate the emperor’s birthday, as well as for betting at chariot races, where the audience supported different teams like modern-day football. Additionally, literature revealed that animal tokens could have been used to allot the meat from the animals slaughtered in the games to the spectators, thus showing a wide range of uses.</w:t>
      </w:r>
    </w:p>
    <w:p w14:paraId="29044A6E" w14:textId="77777777" w:rsidR="0048524B" w:rsidRDefault="0048524B"/>
    <w:p w14:paraId="24A82213" w14:textId="4B26FBF0" w:rsidR="0048524B" w:rsidRDefault="0048524B">
      <w:r w:rsidRPr="002E1C1E">
        <w:rPr>
          <w:b/>
          <w:noProof/>
        </w:rPr>
        <w:t>Amy</w:t>
      </w:r>
      <w:r w:rsidRPr="008357DE">
        <w:rPr>
          <w:b/>
        </w:rPr>
        <w:t xml:space="preserve"> </w:t>
      </w:r>
      <w:r w:rsidRPr="002E1C1E">
        <w:rPr>
          <w:b/>
          <w:noProof/>
        </w:rPr>
        <w:t>Kynman</w:t>
      </w:r>
      <w:r w:rsidRPr="008357DE">
        <w:rPr>
          <w:b/>
        </w:rPr>
        <w:t xml:space="preserve"> </w:t>
      </w:r>
      <w:r>
        <w:rPr>
          <w:b/>
        </w:rPr>
        <w:t xml:space="preserve"> </w:t>
      </w:r>
      <w:r w:rsidRPr="008357DE">
        <w:t>(</w:t>
      </w:r>
      <w:r>
        <w:rPr>
          <w:noProof/>
        </w:rPr>
        <w:t>University of Warwick</w:t>
      </w:r>
      <w:r w:rsidR="00640D83">
        <w:t>)</w:t>
      </w:r>
    </w:p>
    <w:p w14:paraId="612FEAA6" w14:textId="77777777" w:rsidR="0048524B" w:rsidRDefault="0048524B">
      <w:pPr>
        <w:rPr>
          <w:i/>
        </w:rPr>
      </w:pPr>
      <w:r w:rsidRPr="002E1C1E">
        <w:rPr>
          <w:i/>
          <w:noProof/>
        </w:rPr>
        <w:t>Synthesis of an Iridium Complex of a Cavitand-Based Phosphine Ligand</w:t>
      </w:r>
    </w:p>
    <w:p w14:paraId="0649C18B" w14:textId="77777777" w:rsidR="0048524B" w:rsidRDefault="0048524B" w:rsidP="00AC7DBF">
      <w:pPr>
        <w:rPr>
          <w:noProof/>
        </w:rPr>
      </w:pPr>
      <w:r>
        <w:rPr>
          <w:noProof/>
        </w:rPr>
        <w:lastRenderedPageBreak/>
        <w:t>The preparation and chemistry of an iridium complex of a cavitand-based phosphine ligand will be presented. The container-like topology of cavitand ligands causes their complexes to have interesting applications in C-H bond activations. Furthering the understanding of this fundamental process could, in the future, help to improve any industrial process in which C-H bonds are broken or made. We hope to exploit the chemistry of this compound in order to isolate reactive intermediates in transition-metal-mediated C-H led activations.</w:t>
      </w:r>
    </w:p>
    <w:p w14:paraId="56929FCD" w14:textId="77777777" w:rsidR="0048524B" w:rsidRDefault="0048524B" w:rsidP="00AC7DBF">
      <w:pPr>
        <w:rPr>
          <w:noProof/>
        </w:rPr>
      </w:pPr>
      <w:r>
        <w:rPr>
          <w:noProof/>
        </w:rPr>
        <w:t>Alongside this research, the role of sodium tetrakis[3,5-bis(trifluoromethyl)phenyl]borate, Na[BAr4F] will be addressed. Na[BAr4F] is a compound composed of a positive sodium ion and a weakly coordinating anion. Na[BAr4F] is typically used in the preparation of reactive, cationic metal complexes that are of interest in organometallic chemistry, as weakly coordinating anions are able to stabilise, but not react with, positively charged intermediates.</w:t>
      </w:r>
    </w:p>
    <w:p w14:paraId="510096AA" w14:textId="1A03355D" w:rsidR="0048524B" w:rsidRPr="008357DE" w:rsidRDefault="0048524B">
      <w:r>
        <w:rPr>
          <w:noProof/>
        </w:rPr>
        <w:t>Such weakly coordinating anions are also of particular importance in areas including electrochemistry, the production of ionic liquids to replace organic solvents in industrial processes, and for advances in making stable electrolytes for use in lithium-ion batteries.</w:t>
      </w:r>
    </w:p>
    <w:sectPr w:rsidR="0048524B" w:rsidRPr="008357DE" w:rsidSect="0048524B">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7DE"/>
    <w:rsid w:val="00066F65"/>
    <w:rsid w:val="000817E4"/>
    <w:rsid w:val="000D6420"/>
    <w:rsid w:val="00116CA7"/>
    <w:rsid w:val="00121515"/>
    <w:rsid w:val="00164415"/>
    <w:rsid w:val="00174C00"/>
    <w:rsid w:val="001D7364"/>
    <w:rsid w:val="001E5CD0"/>
    <w:rsid w:val="002C1D92"/>
    <w:rsid w:val="002F3D6F"/>
    <w:rsid w:val="00320088"/>
    <w:rsid w:val="0037168C"/>
    <w:rsid w:val="004008BF"/>
    <w:rsid w:val="004064D2"/>
    <w:rsid w:val="004467BC"/>
    <w:rsid w:val="00447D8B"/>
    <w:rsid w:val="0046248A"/>
    <w:rsid w:val="0048524B"/>
    <w:rsid w:val="004B183B"/>
    <w:rsid w:val="005506FC"/>
    <w:rsid w:val="00566255"/>
    <w:rsid w:val="00600371"/>
    <w:rsid w:val="00600E2B"/>
    <w:rsid w:val="006105AE"/>
    <w:rsid w:val="00617E32"/>
    <w:rsid w:val="0062750E"/>
    <w:rsid w:val="00640D83"/>
    <w:rsid w:val="00651B41"/>
    <w:rsid w:val="006952F8"/>
    <w:rsid w:val="006D4D60"/>
    <w:rsid w:val="006D7114"/>
    <w:rsid w:val="006E2A0F"/>
    <w:rsid w:val="006F25FD"/>
    <w:rsid w:val="006F789B"/>
    <w:rsid w:val="00747825"/>
    <w:rsid w:val="00817821"/>
    <w:rsid w:val="0082408E"/>
    <w:rsid w:val="008357DE"/>
    <w:rsid w:val="00873F39"/>
    <w:rsid w:val="008E3685"/>
    <w:rsid w:val="009E23E9"/>
    <w:rsid w:val="00A17261"/>
    <w:rsid w:val="00A344EF"/>
    <w:rsid w:val="00A90A82"/>
    <w:rsid w:val="00AC7DBF"/>
    <w:rsid w:val="00AD62AB"/>
    <w:rsid w:val="00B30D54"/>
    <w:rsid w:val="00B36EBB"/>
    <w:rsid w:val="00B46DD6"/>
    <w:rsid w:val="00B53F99"/>
    <w:rsid w:val="00B62EF8"/>
    <w:rsid w:val="00BB226F"/>
    <w:rsid w:val="00BB31AE"/>
    <w:rsid w:val="00BD77C4"/>
    <w:rsid w:val="00BE4BCC"/>
    <w:rsid w:val="00C23463"/>
    <w:rsid w:val="00CB594E"/>
    <w:rsid w:val="00D00440"/>
    <w:rsid w:val="00D17BA4"/>
    <w:rsid w:val="00D451BF"/>
    <w:rsid w:val="00D47FAE"/>
    <w:rsid w:val="00DA0D5B"/>
    <w:rsid w:val="00DC3269"/>
    <w:rsid w:val="00E027F7"/>
    <w:rsid w:val="00E14123"/>
    <w:rsid w:val="00E37192"/>
    <w:rsid w:val="00EC7418"/>
    <w:rsid w:val="00EF41A7"/>
    <w:rsid w:val="00F352A5"/>
    <w:rsid w:val="00F93DB6"/>
    <w:rsid w:val="00FA0650"/>
    <w:rsid w:val="00FB1B62"/>
    <w:rsid w:val="00FC5753"/>
    <w:rsid w:val="00FD4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31CBA"/>
  <w15:chartTrackingRefBased/>
  <w15:docId w15:val="{38DDD867-4994-4659-8C30-8B23DDF6A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52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24B"/>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447D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59898">
      <w:bodyDiv w:val="1"/>
      <w:marLeft w:val="0"/>
      <w:marRight w:val="0"/>
      <w:marTop w:val="0"/>
      <w:marBottom w:val="0"/>
      <w:divBdr>
        <w:top w:val="none" w:sz="0" w:space="0" w:color="auto"/>
        <w:left w:val="none" w:sz="0" w:space="0" w:color="auto"/>
        <w:bottom w:val="none" w:sz="0" w:space="0" w:color="auto"/>
        <w:right w:val="none" w:sz="0" w:space="0" w:color="auto"/>
      </w:divBdr>
    </w:div>
    <w:div w:id="122817688">
      <w:bodyDiv w:val="1"/>
      <w:marLeft w:val="0"/>
      <w:marRight w:val="0"/>
      <w:marTop w:val="0"/>
      <w:marBottom w:val="0"/>
      <w:divBdr>
        <w:top w:val="none" w:sz="0" w:space="0" w:color="auto"/>
        <w:left w:val="none" w:sz="0" w:space="0" w:color="auto"/>
        <w:bottom w:val="none" w:sz="0" w:space="0" w:color="auto"/>
        <w:right w:val="none" w:sz="0" w:space="0" w:color="auto"/>
      </w:divBdr>
    </w:div>
    <w:div w:id="172650706">
      <w:bodyDiv w:val="1"/>
      <w:marLeft w:val="0"/>
      <w:marRight w:val="0"/>
      <w:marTop w:val="0"/>
      <w:marBottom w:val="0"/>
      <w:divBdr>
        <w:top w:val="none" w:sz="0" w:space="0" w:color="auto"/>
        <w:left w:val="none" w:sz="0" w:space="0" w:color="auto"/>
        <w:bottom w:val="none" w:sz="0" w:space="0" w:color="auto"/>
        <w:right w:val="none" w:sz="0" w:space="0" w:color="auto"/>
      </w:divBdr>
    </w:div>
    <w:div w:id="187767623">
      <w:bodyDiv w:val="1"/>
      <w:marLeft w:val="0"/>
      <w:marRight w:val="0"/>
      <w:marTop w:val="0"/>
      <w:marBottom w:val="0"/>
      <w:divBdr>
        <w:top w:val="none" w:sz="0" w:space="0" w:color="auto"/>
        <w:left w:val="none" w:sz="0" w:space="0" w:color="auto"/>
        <w:bottom w:val="none" w:sz="0" w:space="0" w:color="auto"/>
        <w:right w:val="none" w:sz="0" w:space="0" w:color="auto"/>
      </w:divBdr>
    </w:div>
    <w:div w:id="243728449">
      <w:bodyDiv w:val="1"/>
      <w:marLeft w:val="0"/>
      <w:marRight w:val="0"/>
      <w:marTop w:val="0"/>
      <w:marBottom w:val="0"/>
      <w:divBdr>
        <w:top w:val="none" w:sz="0" w:space="0" w:color="auto"/>
        <w:left w:val="none" w:sz="0" w:space="0" w:color="auto"/>
        <w:bottom w:val="none" w:sz="0" w:space="0" w:color="auto"/>
        <w:right w:val="none" w:sz="0" w:space="0" w:color="auto"/>
      </w:divBdr>
    </w:div>
    <w:div w:id="435250979">
      <w:bodyDiv w:val="1"/>
      <w:marLeft w:val="0"/>
      <w:marRight w:val="0"/>
      <w:marTop w:val="0"/>
      <w:marBottom w:val="0"/>
      <w:divBdr>
        <w:top w:val="none" w:sz="0" w:space="0" w:color="auto"/>
        <w:left w:val="none" w:sz="0" w:space="0" w:color="auto"/>
        <w:bottom w:val="none" w:sz="0" w:space="0" w:color="auto"/>
        <w:right w:val="none" w:sz="0" w:space="0" w:color="auto"/>
      </w:divBdr>
    </w:div>
    <w:div w:id="659620538">
      <w:bodyDiv w:val="1"/>
      <w:marLeft w:val="0"/>
      <w:marRight w:val="0"/>
      <w:marTop w:val="0"/>
      <w:marBottom w:val="0"/>
      <w:divBdr>
        <w:top w:val="none" w:sz="0" w:space="0" w:color="auto"/>
        <w:left w:val="none" w:sz="0" w:space="0" w:color="auto"/>
        <w:bottom w:val="none" w:sz="0" w:space="0" w:color="auto"/>
        <w:right w:val="none" w:sz="0" w:space="0" w:color="auto"/>
      </w:divBdr>
    </w:div>
    <w:div w:id="775756090">
      <w:bodyDiv w:val="1"/>
      <w:marLeft w:val="0"/>
      <w:marRight w:val="0"/>
      <w:marTop w:val="0"/>
      <w:marBottom w:val="0"/>
      <w:divBdr>
        <w:top w:val="none" w:sz="0" w:space="0" w:color="auto"/>
        <w:left w:val="none" w:sz="0" w:space="0" w:color="auto"/>
        <w:bottom w:val="none" w:sz="0" w:space="0" w:color="auto"/>
        <w:right w:val="none" w:sz="0" w:space="0" w:color="auto"/>
      </w:divBdr>
    </w:div>
    <w:div w:id="870731136">
      <w:bodyDiv w:val="1"/>
      <w:marLeft w:val="0"/>
      <w:marRight w:val="0"/>
      <w:marTop w:val="0"/>
      <w:marBottom w:val="0"/>
      <w:divBdr>
        <w:top w:val="none" w:sz="0" w:space="0" w:color="auto"/>
        <w:left w:val="none" w:sz="0" w:space="0" w:color="auto"/>
        <w:bottom w:val="none" w:sz="0" w:space="0" w:color="auto"/>
        <w:right w:val="none" w:sz="0" w:space="0" w:color="auto"/>
      </w:divBdr>
    </w:div>
    <w:div w:id="1433160688">
      <w:bodyDiv w:val="1"/>
      <w:marLeft w:val="0"/>
      <w:marRight w:val="0"/>
      <w:marTop w:val="0"/>
      <w:marBottom w:val="0"/>
      <w:divBdr>
        <w:top w:val="none" w:sz="0" w:space="0" w:color="auto"/>
        <w:left w:val="none" w:sz="0" w:space="0" w:color="auto"/>
        <w:bottom w:val="none" w:sz="0" w:space="0" w:color="auto"/>
        <w:right w:val="none" w:sz="0" w:space="0" w:color="auto"/>
      </w:divBdr>
    </w:div>
    <w:div w:id="190128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855B980B</Template>
  <TotalTime>12</TotalTime>
  <Pages>177</Pages>
  <Words>77468</Words>
  <Characters>441571</Characters>
  <Application>Microsoft Office Word</Application>
  <DocSecurity>0</DocSecurity>
  <Lines>3679</Lines>
  <Paragraphs>1036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Handy</dc:creator>
  <cp:keywords/>
  <dc:description/>
  <cp:lastModifiedBy>Barker, Emma</cp:lastModifiedBy>
  <cp:revision>7</cp:revision>
  <dcterms:created xsi:type="dcterms:W3CDTF">2018-12-05T16:32:00Z</dcterms:created>
  <dcterms:modified xsi:type="dcterms:W3CDTF">2018-12-13T11:47:00Z</dcterms:modified>
</cp:coreProperties>
</file>