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B70" w:rsidRDefault="00DD7B70">
      <w:pPr>
        <w:rPr>
          <w:rFonts w:ascii="Gadugi" w:hAnsi="Gadugi"/>
          <w:b/>
        </w:rPr>
      </w:pPr>
    </w:p>
    <w:p w:rsidR="00397174" w:rsidRDefault="00397174">
      <w:pPr>
        <w:rPr>
          <w:rFonts w:ascii="Gadugi" w:hAnsi="Gadugi"/>
          <w:b/>
        </w:rPr>
      </w:pPr>
    </w:p>
    <w:p w:rsidR="00DD7B70" w:rsidRDefault="00DD7B70">
      <w:pPr>
        <w:rPr>
          <w:rFonts w:ascii="Gadugi" w:hAnsi="Gadugi"/>
          <w:b/>
        </w:rPr>
      </w:pPr>
    </w:p>
    <w:p w:rsidR="00DD7B70" w:rsidRDefault="00DD7B70">
      <w:pPr>
        <w:rPr>
          <w:rFonts w:ascii="Gadugi" w:hAnsi="Gadugi"/>
          <w:b/>
        </w:rPr>
      </w:pPr>
    </w:p>
    <w:p w:rsidR="00DD7B70" w:rsidRDefault="00C250A8" w:rsidP="00397174">
      <w:pPr>
        <w:pStyle w:val="Heading1"/>
        <w:jc w:val="center"/>
      </w:pPr>
      <w:bookmarkStart w:id="0" w:name="_Toc501711890"/>
      <w:r>
        <w:rPr>
          <w:noProof/>
          <w:lang w:eastAsia="en-GB"/>
        </w:rPr>
        <w:drawing>
          <wp:inline distT="0" distB="0" distL="0" distR="0">
            <wp:extent cx="5236210" cy="179316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ur_logo_coral.jpg"/>
                    <pic:cNvPicPr/>
                  </pic:nvPicPr>
                  <pic:blipFill>
                    <a:blip r:embed="rId8">
                      <a:extLst>
                        <a:ext uri="{28A0092B-C50C-407E-A947-70E740481C1C}">
                          <a14:useLocalDpi xmlns:a14="http://schemas.microsoft.com/office/drawing/2010/main" val="0"/>
                        </a:ext>
                      </a:extLst>
                    </a:blip>
                    <a:stretch>
                      <a:fillRect/>
                    </a:stretch>
                  </pic:blipFill>
                  <pic:spPr>
                    <a:xfrm>
                      <a:off x="0" y="0"/>
                      <a:ext cx="5248811" cy="1797482"/>
                    </a:xfrm>
                    <a:prstGeom prst="rect">
                      <a:avLst/>
                    </a:prstGeom>
                  </pic:spPr>
                </pic:pic>
              </a:graphicData>
            </a:graphic>
          </wp:inline>
        </w:drawing>
      </w:r>
      <w:bookmarkEnd w:id="0"/>
    </w:p>
    <w:p w:rsidR="00DD7B70" w:rsidRDefault="00DD7B70" w:rsidP="00DD7B70"/>
    <w:p w:rsidR="00DD7B70" w:rsidRPr="00DD7B70" w:rsidRDefault="00DD7B70" w:rsidP="00397174">
      <w:pPr>
        <w:pStyle w:val="Heading1"/>
      </w:pPr>
    </w:p>
    <w:p w:rsidR="00DD7B70" w:rsidRDefault="00DD7B70" w:rsidP="00DD7B70">
      <w:pPr>
        <w:pStyle w:val="Title"/>
        <w:jc w:val="center"/>
      </w:pPr>
      <w:bookmarkStart w:id="1" w:name="_Toc468451470"/>
      <w:r>
        <w:t>THE INTERNATIONAL CONFERENCE OF UNDERGRADUATE RESEARCH</w:t>
      </w:r>
      <w:bookmarkEnd w:id="1"/>
      <w:r>
        <w:t xml:space="preserve"> (ICUR)</w:t>
      </w:r>
    </w:p>
    <w:p w:rsidR="00DD7B70" w:rsidRDefault="00DD7B70" w:rsidP="00DD7B70">
      <w:pPr>
        <w:pStyle w:val="Title"/>
        <w:jc w:val="center"/>
      </w:pPr>
    </w:p>
    <w:p w:rsidR="00C250A8" w:rsidRDefault="00C250A8" w:rsidP="00DD7B70">
      <w:pPr>
        <w:pStyle w:val="Title"/>
        <w:jc w:val="center"/>
        <w:rPr>
          <w:b/>
        </w:rPr>
      </w:pPr>
      <w:bookmarkStart w:id="2" w:name="_Toc468451471"/>
    </w:p>
    <w:p w:rsidR="00DD7B70" w:rsidRPr="00397174" w:rsidRDefault="00DD7B70" w:rsidP="00DD7B70">
      <w:pPr>
        <w:pStyle w:val="Title"/>
        <w:jc w:val="center"/>
        <w:rPr>
          <w:b/>
        </w:rPr>
      </w:pPr>
      <w:r w:rsidRPr="00397174">
        <w:rPr>
          <w:b/>
        </w:rPr>
        <w:t>BOOK OF ABSTRACTS</w:t>
      </w:r>
      <w:bookmarkEnd w:id="2"/>
    </w:p>
    <w:p w:rsidR="00DD7B70" w:rsidRDefault="00DD7B70" w:rsidP="00397174">
      <w:pPr>
        <w:pStyle w:val="Title"/>
      </w:pPr>
    </w:p>
    <w:p w:rsidR="00DD7B70" w:rsidRPr="00DD7B70" w:rsidRDefault="00DD7B70" w:rsidP="00DD7B70">
      <w:pPr>
        <w:pStyle w:val="Title"/>
        <w:jc w:val="center"/>
        <w:rPr>
          <w:rStyle w:val="SubtleEmphasis"/>
        </w:rPr>
      </w:pPr>
    </w:p>
    <w:p w:rsidR="00DD7B70" w:rsidRPr="00DD7B70" w:rsidRDefault="00DD7B70" w:rsidP="00DD7B70">
      <w:pPr>
        <w:pStyle w:val="Title"/>
        <w:jc w:val="center"/>
        <w:rPr>
          <w:rStyle w:val="SubtleEmphasis"/>
        </w:rPr>
      </w:pPr>
      <w:bookmarkStart w:id="3" w:name="_Toc468451472"/>
      <w:r w:rsidRPr="00DD7B70">
        <w:rPr>
          <w:rStyle w:val="SubtleEmphasis"/>
        </w:rPr>
        <w:t>2</w:t>
      </w:r>
      <w:r w:rsidR="00C250A8">
        <w:rPr>
          <w:rStyle w:val="SubtleEmphasis"/>
        </w:rPr>
        <w:t>6</w:t>
      </w:r>
      <w:r w:rsidRPr="00DD7B70">
        <w:rPr>
          <w:rStyle w:val="SubtleEmphasis"/>
        </w:rPr>
        <w:t>-2</w:t>
      </w:r>
      <w:r w:rsidR="00C250A8">
        <w:rPr>
          <w:rStyle w:val="SubtleEmphasis"/>
        </w:rPr>
        <w:t>7</w:t>
      </w:r>
      <w:r w:rsidRPr="00DD7B70">
        <w:rPr>
          <w:rStyle w:val="SubtleEmphasis"/>
        </w:rPr>
        <w:t xml:space="preserve"> September 201</w:t>
      </w:r>
      <w:bookmarkEnd w:id="3"/>
      <w:r w:rsidR="00C250A8">
        <w:rPr>
          <w:rStyle w:val="SubtleEmphasis"/>
        </w:rPr>
        <w:t>7</w:t>
      </w:r>
    </w:p>
    <w:p w:rsidR="00DD7B70" w:rsidRDefault="00DD7B70" w:rsidP="00DD7B70">
      <w:pPr>
        <w:pStyle w:val="Heading1"/>
        <w:jc w:val="center"/>
        <w:rPr>
          <w:rFonts w:ascii="Gadugi" w:hAnsi="Gadugi"/>
          <w:b/>
        </w:rPr>
      </w:pPr>
    </w:p>
    <w:p w:rsidR="00DD7B70" w:rsidRDefault="00DD7B70" w:rsidP="00DD7B70">
      <w:pPr>
        <w:pStyle w:val="Heading1"/>
        <w:jc w:val="center"/>
        <w:rPr>
          <w:rFonts w:ascii="Gadugi" w:hAnsi="Gadugi"/>
          <w:b/>
        </w:rPr>
      </w:pPr>
    </w:p>
    <w:p w:rsidR="00DD7B70" w:rsidRDefault="00DD7B70">
      <w:pPr>
        <w:rPr>
          <w:rFonts w:ascii="Gadugi" w:hAnsi="Gadugi"/>
          <w:b/>
        </w:rPr>
      </w:pPr>
    </w:p>
    <w:p w:rsidR="00DD7B70" w:rsidRDefault="00DD7B70">
      <w:pPr>
        <w:rPr>
          <w:rFonts w:ascii="Gadugi" w:hAnsi="Gadugi"/>
          <w:b/>
        </w:rPr>
      </w:pPr>
    </w:p>
    <w:p w:rsidR="00DD7B70" w:rsidRDefault="00DD7B70">
      <w:pPr>
        <w:rPr>
          <w:rFonts w:ascii="Gadugi" w:hAnsi="Gadugi"/>
          <w:b/>
        </w:rPr>
      </w:pPr>
    </w:p>
    <w:sdt>
      <w:sdtPr>
        <w:rPr>
          <w:rFonts w:asciiTheme="minorHAnsi" w:eastAsiaTheme="minorHAnsi" w:hAnsiTheme="minorHAnsi" w:cstheme="minorBidi"/>
          <w:color w:val="auto"/>
          <w:sz w:val="22"/>
          <w:szCs w:val="22"/>
          <w:lang w:val="en-GB"/>
        </w:rPr>
        <w:id w:val="-680739108"/>
        <w:docPartObj>
          <w:docPartGallery w:val="Table of Contents"/>
          <w:docPartUnique/>
        </w:docPartObj>
      </w:sdtPr>
      <w:sdtEndPr>
        <w:rPr>
          <w:b/>
          <w:bCs/>
          <w:noProof/>
        </w:rPr>
      </w:sdtEndPr>
      <w:sdtContent>
        <w:p w:rsidR="00864587" w:rsidRDefault="00351AE2" w:rsidP="00351AE2">
          <w:pPr>
            <w:pStyle w:val="TOCHeading"/>
            <w:rPr>
              <w:noProof/>
            </w:rPr>
          </w:pPr>
          <w:r>
            <w:t>Contents</w:t>
          </w:r>
          <w:r w:rsidR="00DD7B70">
            <w:fldChar w:fldCharType="begin"/>
          </w:r>
          <w:r w:rsidR="00DD7B70">
            <w:instrText xml:space="preserve"> TOC \o "1-3" \h \z \u </w:instrText>
          </w:r>
          <w:r w:rsidR="00DD7B70">
            <w:fldChar w:fldCharType="separate"/>
          </w:r>
        </w:p>
        <w:p w:rsidR="00864587" w:rsidRDefault="00BA0844">
          <w:pPr>
            <w:pStyle w:val="TOC1"/>
            <w:tabs>
              <w:tab w:val="right" w:leader="dot" w:pos="9016"/>
            </w:tabs>
            <w:rPr>
              <w:rFonts w:eastAsiaTheme="minorEastAsia"/>
              <w:noProof/>
              <w:lang w:eastAsia="en-GB"/>
            </w:rPr>
          </w:pPr>
          <w:hyperlink w:anchor="_Toc501711890" w:history="1">
            <w:r w:rsidR="00864587">
              <w:rPr>
                <w:noProof/>
                <w:webHidden/>
              </w:rPr>
              <w:tab/>
            </w:r>
            <w:r w:rsidR="00864587">
              <w:rPr>
                <w:noProof/>
                <w:webHidden/>
              </w:rPr>
              <w:fldChar w:fldCharType="begin"/>
            </w:r>
            <w:r w:rsidR="00864587">
              <w:rPr>
                <w:noProof/>
                <w:webHidden/>
              </w:rPr>
              <w:instrText xml:space="preserve"> PAGEREF _Toc501711890 \h </w:instrText>
            </w:r>
            <w:r w:rsidR="00864587">
              <w:rPr>
                <w:noProof/>
                <w:webHidden/>
              </w:rPr>
            </w:r>
            <w:r w:rsidR="00864587">
              <w:rPr>
                <w:noProof/>
                <w:webHidden/>
              </w:rPr>
              <w:fldChar w:fldCharType="separate"/>
            </w:r>
            <w:r w:rsidR="00864587">
              <w:rPr>
                <w:noProof/>
                <w:webHidden/>
              </w:rPr>
              <w:t>1</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891" w:history="1">
            <w:r w:rsidR="00864587" w:rsidRPr="00977491">
              <w:rPr>
                <w:rStyle w:val="Hyperlink"/>
                <w:noProof/>
              </w:rPr>
              <w:t>SESSION 1</w:t>
            </w:r>
            <w:r w:rsidR="00864587">
              <w:rPr>
                <w:noProof/>
                <w:webHidden/>
              </w:rPr>
              <w:tab/>
            </w:r>
            <w:r w:rsidR="00864587">
              <w:rPr>
                <w:noProof/>
                <w:webHidden/>
              </w:rPr>
              <w:fldChar w:fldCharType="begin"/>
            </w:r>
            <w:r w:rsidR="00864587">
              <w:rPr>
                <w:noProof/>
                <w:webHidden/>
              </w:rPr>
              <w:instrText xml:space="preserve"> PAGEREF _Toc501711891 \h </w:instrText>
            </w:r>
            <w:r w:rsidR="00864587">
              <w:rPr>
                <w:noProof/>
                <w:webHidden/>
              </w:rPr>
            </w:r>
            <w:r w:rsidR="00864587">
              <w:rPr>
                <w:noProof/>
                <w:webHidden/>
              </w:rPr>
              <w:fldChar w:fldCharType="separate"/>
            </w:r>
            <w:r w:rsidR="00864587">
              <w:rPr>
                <w:noProof/>
                <w:webHidden/>
              </w:rPr>
              <w:t>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2" w:history="1">
            <w:r w:rsidR="00864587" w:rsidRPr="00977491">
              <w:rPr>
                <w:rStyle w:val="Hyperlink"/>
                <w:noProof/>
              </w:rPr>
              <w:t>Session 1A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_Toc501711892 \h </w:instrText>
            </w:r>
            <w:r w:rsidR="00864587">
              <w:rPr>
                <w:noProof/>
                <w:webHidden/>
              </w:rPr>
            </w:r>
            <w:r w:rsidR="00864587">
              <w:rPr>
                <w:noProof/>
                <w:webHidden/>
              </w:rPr>
              <w:fldChar w:fldCharType="separate"/>
            </w:r>
            <w:r w:rsidR="00864587">
              <w:rPr>
                <w:noProof/>
                <w:webHidden/>
              </w:rPr>
              <w:t>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3" w:history="1">
            <w:r w:rsidR="00864587" w:rsidRPr="00977491">
              <w:rPr>
                <w:rStyle w:val="Hyperlink"/>
                <w:noProof/>
              </w:rPr>
              <w:t>Session 1B (Monash University, Australia)</w:t>
            </w:r>
            <w:r w:rsidR="00864587">
              <w:rPr>
                <w:noProof/>
                <w:webHidden/>
              </w:rPr>
              <w:tab/>
            </w:r>
            <w:r w:rsidR="00864587">
              <w:rPr>
                <w:noProof/>
                <w:webHidden/>
              </w:rPr>
              <w:fldChar w:fldCharType="begin"/>
            </w:r>
            <w:r w:rsidR="00864587">
              <w:rPr>
                <w:noProof/>
                <w:webHidden/>
              </w:rPr>
              <w:instrText xml:space="preserve"> PAGEREF _Toc501711893 \h </w:instrText>
            </w:r>
            <w:r w:rsidR="00864587">
              <w:rPr>
                <w:noProof/>
                <w:webHidden/>
              </w:rPr>
            </w:r>
            <w:r w:rsidR="00864587">
              <w:rPr>
                <w:noProof/>
                <w:webHidden/>
              </w:rPr>
              <w:fldChar w:fldCharType="separate"/>
            </w:r>
            <w:r w:rsidR="00864587">
              <w:rPr>
                <w:noProof/>
                <w:webHidden/>
              </w:rPr>
              <w:t>7</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4" w:history="1">
            <w:r w:rsidR="00864587" w:rsidRPr="00977491">
              <w:rPr>
                <w:rStyle w:val="Hyperlink"/>
                <w:noProof/>
              </w:rPr>
              <w:t>Session 1C (Monash University, Australia)</w:t>
            </w:r>
            <w:r w:rsidR="00864587">
              <w:rPr>
                <w:noProof/>
                <w:webHidden/>
              </w:rPr>
              <w:tab/>
            </w:r>
            <w:r w:rsidR="00864587">
              <w:rPr>
                <w:noProof/>
                <w:webHidden/>
              </w:rPr>
              <w:fldChar w:fldCharType="begin"/>
            </w:r>
            <w:r w:rsidR="00864587">
              <w:rPr>
                <w:noProof/>
                <w:webHidden/>
              </w:rPr>
              <w:instrText xml:space="preserve"> PAGEREF _Toc501711894 \h </w:instrText>
            </w:r>
            <w:r w:rsidR="00864587">
              <w:rPr>
                <w:noProof/>
                <w:webHidden/>
              </w:rPr>
            </w:r>
            <w:r w:rsidR="00864587">
              <w:rPr>
                <w:noProof/>
                <w:webHidden/>
              </w:rPr>
              <w:fldChar w:fldCharType="separate"/>
            </w:r>
            <w:r w:rsidR="00864587">
              <w:rPr>
                <w:noProof/>
                <w:webHidden/>
              </w:rPr>
              <w:t>8</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895" w:history="1">
            <w:r w:rsidR="00864587" w:rsidRPr="00977491">
              <w:rPr>
                <w:rStyle w:val="Hyperlink"/>
                <w:noProof/>
              </w:rPr>
              <w:t>SESSON 2</w:t>
            </w:r>
            <w:r w:rsidR="00864587">
              <w:rPr>
                <w:noProof/>
                <w:webHidden/>
              </w:rPr>
              <w:tab/>
            </w:r>
            <w:r w:rsidR="00864587">
              <w:rPr>
                <w:noProof/>
                <w:webHidden/>
              </w:rPr>
              <w:fldChar w:fldCharType="begin"/>
            </w:r>
            <w:r w:rsidR="00864587">
              <w:rPr>
                <w:noProof/>
                <w:webHidden/>
              </w:rPr>
              <w:instrText xml:space="preserve"> PAGEREF _Toc501711895 \h </w:instrText>
            </w:r>
            <w:r w:rsidR="00864587">
              <w:rPr>
                <w:noProof/>
                <w:webHidden/>
              </w:rPr>
            </w:r>
            <w:r w:rsidR="00864587">
              <w:rPr>
                <w:noProof/>
                <w:webHidden/>
              </w:rPr>
              <w:fldChar w:fldCharType="separate"/>
            </w:r>
            <w:r w:rsidR="00864587">
              <w:rPr>
                <w:noProof/>
                <w:webHidden/>
              </w:rPr>
              <w:t>10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6" w:history="1">
            <w:r w:rsidR="00864587" w:rsidRPr="00977491">
              <w:rPr>
                <w:rStyle w:val="Hyperlink"/>
                <w:noProof/>
              </w:rPr>
              <w:t>Session 2A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_Toc501711896 \h </w:instrText>
            </w:r>
            <w:r w:rsidR="00864587">
              <w:rPr>
                <w:noProof/>
                <w:webHidden/>
              </w:rPr>
            </w:r>
            <w:r w:rsidR="00864587">
              <w:rPr>
                <w:noProof/>
                <w:webHidden/>
              </w:rPr>
              <w:fldChar w:fldCharType="separate"/>
            </w:r>
            <w:r w:rsidR="00864587">
              <w:rPr>
                <w:noProof/>
                <w:webHidden/>
              </w:rPr>
              <w:t>10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7" w:history="1">
            <w:r w:rsidR="00864587" w:rsidRPr="00977491">
              <w:rPr>
                <w:rStyle w:val="Hyperlink"/>
                <w:noProof/>
              </w:rPr>
              <w:t>Session 2B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_Toc501711897 \h </w:instrText>
            </w:r>
            <w:r w:rsidR="00864587">
              <w:rPr>
                <w:noProof/>
                <w:webHidden/>
              </w:rPr>
            </w:r>
            <w:r w:rsidR="00864587">
              <w:rPr>
                <w:noProof/>
                <w:webHidden/>
              </w:rPr>
              <w:fldChar w:fldCharType="separate"/>
            </w:r>
            <w:r w:rsidR="00864587">
              <w:rPr>
                <w:noProof/>
                <w:webHidden/>
              </w:rPr>
              <w:t>11</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8" w:history="1">
            <w:r w:rsidR="00864587" w:rsidRPr="00977491">
              <w:rPr>
                <w:rStyle w:val="Hyperlink"/>
                <w:noProof/>
              </w:rPr>
              <w:t>Session 2C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_Toc501711898 \h </w:instrText>
            </w:r>
            <w:r w:rsidR="00864587">
              <w:rPr>
                <w:noProof/>
                <w:webHidden/>
              </w:rPr>
            </w:r>
            <w:r w:rsidR="00864587">
              <w:rPr>
                <w:noProof/>
                <w:webHidden/>
              </w:rPr>
              <w:fldChar w:fldCharType="separate"/>
            </w:r>
            <w:r w:rsidR="00864587">
              <w:rPr>
                <w:noProof/>
                <w:webHidden/>
              </w:rPr>
              <w:t>13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899" w:history="1">
            <w:r w:rsidR="00864587" w:rsidRPr="00977491">
              <w:rPr>
                <w:rStyle w:val="Hyperlink"/>
                <w:noProof/>
              </w:rPr>
              <w:t>Session 2D (Monash University, Australia, Nanyang Technological University, Singapore &amp; Monash University, Malaysia)</w:t>
            </w:r>
            <w:r w:rsidR="00864587">
              <w:rPr>
                <w:noProof/>
                <w:webHidden/>
              </w:rPr>
              <w:tab/>
            </w:r>
            <w:r w:rsidR="00864587">
              <w:rPr>
                <w:noProof/>
                <w:webHidden/>
              </w:rPr>
              <w:fldChar w:fldCharType="begin"/>
            </w:r>
            <w:r w:rsidR="00864587">
              <w:rPr>
                <w:noProof/>
                <w:webHidden/>
              </w:rPr>
              <w:instrText xml:space="preserve"> PAGEREF _Toc501711899 \h </w:instrText>
            </w:r>
            <w:r w:rsidR="00864587">
              <w:rPr>
                <w:noProof/>
                <w:webHidden/>
              </w:rPr>
            </w:r>
            <w:r w:rsidR="00864587">
              <w:rPr>
                <w:noProof/>
                <w:webHidden/>
              </w:rPr>
              <w:fldChar w:fldCharType="separate"/>
            </w:r>
            <w:r w:rsidR="00864587">
              <w:rPr>
                <w:noProof/>
                <w:webHidden/>
              </w:rPr>
              <w:t>15</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00" w:history="1">
            <w:r w:rsidR="00864587" w:rsidRPr="00977491">
              <w:rPr>
                <w:rStyle w:val="Hyperlink"/>
                <w:noProof/>
              </w:rPr>
              <w:t>SESSION 3</w:t>
            </w:r>
            <w:r w:rsidR="00864587">
              <w:rPr>
                <w:noProof/>
                <w:webHidden/>
              </w:rPr>
              <w:tab/>
            </w:r>
            <w:r w:rsidR="00864587">
              <w:rPr>
                <w:noProof/>
                <w:webHidden/>
              </w:rPr>
              <w:fldChar w:fldCharType="begin"/>
            </w:r>
            <w:r w:rsidR="00864587">
              <w:rPr>
                <w:noProof/>
                <w:webHidden/>
              </w:rPr>
              <w:instrText xml:space="preserve"> PAGEREF _Toc501711900 \h </w:instrText>
            </w:r>
            <w:r w:rsidR="00864587">
              <w:rPr>
                <w:noProof/>
                <w:webHidden/>
              </w:rPr>
            </w:r>
            <w:r w:rsidR="00864587">
              <w:rPr>
                <w:noProof/>
                <w:webHidden/>
              </w:rPr>
              <w:fldChar w:fldCharType="separate"/>
            </w:r>
            <w:r w:rsidR="00864587">
              <w:rPr>
                <w:noProof/>
                <w:webHidden/>
              </w:rPr>
              <w:t>16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1" w:history="1">
            <w:r w:rsidR="00864587" w:rsidRPr="00977491">
              <w:rPr>
                <w:rStyle w:val="Hyperlink"/>
                <w:noProof/>
              </w:rPr>
              <w:t>Session 3A (Monash University Australia, Kyushu University Japan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_Toc501711901 \h </w:instrText>
            </w:r>
            <w:r w:rsidR="00864587">
              <w:rPr>
                <w:noProof/>
                <w:webHidden/>
              </w:rPr>
            </w:r>
            <w:r w:rsidR="00864587">
              <w:rPr>
                <w:noProof/>
                <w:webHidden/>
              </w:rPr>
              <w:fldChar w:fldCharType="separate"/>
            </w:r>
            <w:r w:rsidR="00864587">
              <w:rPr>
                <w:noProof/>
                <w:webHidden/>
              </w:rPr>
              <w:t>16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2" w:history="1">
            <w:r w:rsidR="00864587" w:rsidRPr="00977491">
              <w:rPr>
                <w:rStyle w:val="Hyperlink"/>
                <w:noProof/>
              </w:rPr>
              <w:t>Session 3B (Monash University, Australia &amp; Monash University, Malaysia)</w:t>
            </w:r>
            <w:r w:rsidR="00864587">
              <w:rPr>
                <w:noProof/>
                <w:webHidden/>
              </w:rPr>
              <w:tab/>
            </w:r>
            <w:r w:rsidR="00864587">
              <w:rPr>
                <w:noProof/>
                <w:webHidden/>
              </w:rPr>
              <w:fldChar w:fldCharType="begin"/>
            </w:r>
            <w:r w:rsidR="00864587">
              <w:rPr>
                <w:noProof/>
                <w:webHidden/>
              </w:rPr>
              <w:instrText xml:space="preserve"> PAGEREF _Toc501711902 \h </w:instrText>
            </w:r>
            <w:r w:rsidR="00864587">
              <w:rPr>
                <w:noProof/>
                <w:webHidden/>
              </w:rPr>
            </w:r>
            <w:r w:rsidR="00864587">
              <w:rPr>
                <w:noProof/>
                <w:webHidden/>
              </w:rPr>
              <w:fldChar w:fldCharType="separate"/>
            </w:r>
            <w:r w:rsidR="00864587">
              <w:rPr>
                <w:noProof/>
                <w:webHidden/>
              </w:rPr>
              <w:t>17</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3" w:history="1">
            <w:r w:rsidR="00864587" w:rsidRPr="00977491">
              <w:rPr>
                <w:rStyle w:val="Hyperlink"/>
                <w:noProof/>
              </w:rPr>
              <w:t>Session 3C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_Toc501711903 \h </w:instrText>
            </w:r>
            <w:r w:rsidR="00864587">
              <w:rPr>
                <w:noProof/>
                <w:webHidden/>
              </w:rPr>
            </w:r>
            <w:r w:rsidR="00864587">
              <w:rPr>
                <w:noProof/>
                <w:webHidden/>
              </w:rPr>
              <w:fldChar w:fldCharType="separate"/>
            </w:r>
            <w:r w:rsidR="00864587">
              <w:rPr>
                <w:noProof/>
                <w:webHidden/>
              </w:rPr>
              <w:t>19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4" w:history="1">
            <w:r w:rsidR="00864587" w:rsidRPr="00977491">
              <w:rPr>
                <w:rStyle w:val="Hyperlink"/>
                <w:noProof/>
              </w:rPr>
              <w:t>Session 3D (Monash University, Australia &amp; Nayang Technological University, Singapore)</w:t>
            </w:r>
            <w:r w:rsidR="00864587">
              <w:rPr>
                <w:noProof/>
                <w:webHidden/>
              </w:rPr>
              <w:tab/>
            </w:r>
            <w:r w:rsidR="00864587">
              <w:rPr>
                <w:noProof/>
                <w:webHidden/>
              </w:rPr>
              <w:fldChar w:fldCharType="begin"/>
            </w:r>
            <w:r w:rsidR="00864587">
              <w:rPr>
                <w:noProof/>
                <w:webHidden/>
              </w:rPr>
              <w:instrText xml:space="preserve"> PAGEREF _Toc501711904 \h </w:instrText>
            </w:r>
            <w:r w:rsidR="00864587">
              <w:rPr>
                <w:noProof/>
                <w:webHidden/>
              </w:rPr>
            </w:r>
            <w:r w:rsidR="00864587">
              <w:rPr>
                <w:noProof/>
                <w:webHidden/>
              </w:rPr>
              <w:fldChar w:fldCharType="separate"/>
            </w:r>
            <w:r w:rsidR="00864587">
              <w:rPr>
                <w:noProof/>
                <w:webHidden/>
              </w:rPr>
              <w:t>21</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05" w:history="1">
            <w:r w:rsidR="00864587" w:rsidRPr="00977491">
              <w:rPr>
                <w:rStyle w:val="Hyperlink"/>
                <w:noProof/>
              </w:rPr>
              <w:t>SESSION 4</w:t>
            </w:r>
            <w:r w:rsidR="00864587">
              <w:rPr>
                <w:noProof/>
                <w:webHidden/>
              </w:rPr>
              <w:tab/>
            </w:r>
            <w:r w:rsidR="00864587">
              <w:rPr>
                <w:noProof/>
                <w:webHidden/>
              </w:rPr>
              <w:fldChar w:fldCharType="begin"/>
            </w:r>
            <w:r w:rsidR="00864587">
              <w:rPr>
                <w:noProof/>
                <w:webHidden/>
              </w:rPr>
              <w:instrText xml:space="preserve"> PAGEREF _Toc501711905 \h </w:instrText>
            </w:r>
            <w:r w:rsidR="00864587">
              <w:rPr>
                <w:noProof/>
                <w:webHidden/>
              </w:rPr>
            </w:r>
            <w:r w:rsidR="00864587">
              <w:rPr>
                <w:noProof/>
                <w:webHidden/>
              </w:rPr>
              <w:fldChar w:fldCharType="separate"/>
            </w:r>
            <w:r w:rsidR="00864587">
              <w:rPr>
                <w:noProof/>
                <w:webHidden/>
              </w:rPr>
              <w:t>22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6" w:history="1">
            <w:r w:rsidR="00864587" w:rsidRPr="00977491">
              <w:rPr>
                <w:rStyle w:val="Hyperlink"/>
                <w:noProof/>
              </w:rPr>
              <w:t>Session 4A (Monash University Australia &amp; Kyushu University Japan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_Toc501711906 \h </w:instrText>
            </w:r>
            <w:r w:rsidR="00864587">
              <w:rPr>
                <w:noProof/>
                <w:webHidden/>
              </w:rPr>
            </w:r>
            <w:r w:rsidR="00864587">
              <w:rPr>
                <w:noProof/>
                <w:webHidden/>
              </w:rPr>
              <w:fldChar w:fldCharType="separate"/>
            </w:r>
            <w:r w:rsidR="00864587">
              <w:rPr>
                <w:noProof/>
                <w:webHidden/>
              </w:rPr>
              <w:t>22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7" w:history="1">
            <w:r w:rsidR="00864587" w:rsidRPr="00977491">
              <w:rPr>
                <w:rStyle w:val="Hyperlink"/>
                <w:noProof/>
              </w:rPr>
              <w:t>Session 4B (Monash University Australia &amp; Monash University Malaysia)</w:t>
            </w:r>
            <w:r w:rsidR="00864587">
              <w:rPr>
                <w:noProof/>
                <w:webHidden/>
              </w:rPr>
              <w:tab/>
            </w:r>
            <w:r w:rsidR="00864587">
              <w:rPr>
                <w:noProof/>
                <w:webHidden/>
              </w:rPr>
              <w:fldChar w:fldCharType="begin"/>
            </w:r>
            <w:r w:rsidR="00864587">
              <w:rPr>
                <w:noProof/>
                <w:webHidden/>
              </w:rPr>
              <w:instrText xml:space="preserve"> PAGEREF _Toc501711907 \h </w:instrText>
            </w:r>
            <w:r w:rsidR="00864587">
              <w:rPr>
                <w:noProof/>
                <w:webHidden/>
              </w:rPr>
            </w:r>
            <w:r w:rsidR="00864587">
              <w:rPr>
                <w:noProof/>
                <w:webHidden/>
              </w:rPr>
              <w:fldChar w:fldCharType="separate"/>
            </w:r>
            <w:r w:rsidR="00864587">
              <w:rPr>
                <w:noProof/>
                <w:webHidden/>
              </w:rPr>
              <w:t>23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8" w:history="1">
            <w:r w:rsidR="00864587" w:rsidRPr="00977491">
              <w:rPr>
                <w:rStyle w:val="Hyperlink"/>
                <w:noProof/>
              </w:rPr>
              <w:t>Session 4C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_Toc501711908 \h </w:instrText>
            </w:r>
            <w:r w:rsidR="00864587">
              <w:rPr>
                <w:noProof/>
                <w:webHidden/>
              </w:rPr>
            </w:r>
            <w:r w:rsidR="00864587">
              <w:rPr>
                <w:noProof/>
                <w:webHidden/>
              </w:rPr>
              <w:fldChar w:fldCharType="separate"/>
            </w:r>
            <w:r w:rsidR="00864587">
              <w:rPr>
                <w:noProof/>
                <w:webHidden/>
              </w:rPr>
              <w:t>25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09" w:history="1">
            <w:r w:rsidR="00864587" w:rsidRPr="00977491">
              <w:rPr>
                <w:rStyle w:val="Hyperlink"/>
                <w:noProof/>
              </w:rPr>
              <w:t>Session 4D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_Toc501711909 \h </w:instrText>
            </w:r>
            <w:r w:rsidR="00864587">
              <w:rPr>
                <w:noProof/>
                <w:webHidden/>
              </w:rPr>
            </w:r>
            <w:r w:rsidR="00864587">
              <w:rPr>
                <w:noProof/>
                <w:webHidden/>
              </w:rPr>
              <w:fldChar w:fldCharType="separate"/>
            </w:r>
            <w:r w:rsidR="00864587">
              <w:rPr>
                <w:noProof/>
                <w:webHidden/>
              </w:rPr>
              <w:t>27</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10" w:history="1">
            <w:r w:rsidR="00864587" w:rsidRPr="00977491">
              <w:rPr>
                <w:rStyle w:val="Hyperlink"/>
                <w:noProof/>
              </w:rPr>
              <w:t>SESSION 5</w:t>
            </w:r>
            <w:r w:rsidR="00864587">
              <w:rPr>
                <w:noProof/>
                <w:webHidden/>
              </w:rPr>
              <w:tab/>
            </w:r>
            <w:r w:rsidR="00864587">
              <w:rPr>
                <w:noProof/>
                <w:webHidden/>
              </w:rPr>
              <w:fldChar w:fldCharType="begin"/>
            </w:r>
            <w:r w:rsidR="00864587">
              <w:rPr>
                <w:noProof/>
                <w:webHidden/>
              </w:rPr>
              <w:instrText xml:space="preserve"> PAGEREF _Toc501711910 \h </w:instrText>
            </w:r>
            <w:r w:rsidR="00864587">
              <w:rPr>
                <w:noProof/>
                <w:webHidden/>
              </w:rPr>
            </w:r>
            <w:r w:rsidR="00864587">
              <w:rPr>
                <w:noProof/>
                <w:webHidden/>
              </w:rPr>
              <w:fldChar w:fldCharType="separate"/>
            </w:r>
            <w:r w:rsidR="00864587">
              <w:rPr>
                <w:noProof/>
                <w:webHidden/>
              </w:rPr>
              <w:t>28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1" w:history="1">
            <w:r w:rsidR="00864587" w:rsidRPr="00977491">
              <w:rPr>
                <w:rStyle w:val="Hyperlink"/>
                <w:noProof/>
              </w:rPr>
              <w:t>Session 5A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_Toc501711911 \h </w:instrText>
            </w:r>
            <w:r w:rsidR="00864587">
              <w:rPr>
                <w:noProof/>
                <w:webHidden/>
              </w:rPr>
            </w:r>
            <w:r w:rsidR="00864587">
              <w:rPr>
                <w:noProof/>
                <w:webHidden/>
              </w:rPr>
              <w:fldChar w:fldCharType="separate"/>
            </w:r>
            <w:r w:rsidR="00864587">
              <w:rPr>
                <w:noProof/>
                <w:webHidden/>
              </w:rPr>
              <w:t>28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2" w:history="1">
            <w:r w:rsidR="00864587" w:rsidRPr="00977491">
              <w:rPr>
                <w:rStyle w:val="Hyperlink"/>
                <w:noProof/>
              </w:rPr>
              <w:t>Session 5B (Monash University, Australia &amp; Sussex University, UK)</w:t>
            </w:r>
            <w:r w:rsidR="00864587">
              <w:rPr>
                <w:noProof/>
                <w:webHidden/>
              </w:rPr>
              <w:tab/>
            </w:r>
            <w:r w:rsidR="00864587">
              <w:rPr>
                <w:noProof/>
                <w:webHidden/>
              </w:rPr>
              <w:fldChar w:fldCharType="begin"/>
            </w:r>
            <w:r w:rsidR="00864587">
              <w:rPr>
                <w:noProof/>
                <w:webHidden/>
              </w:rPr>
              <w:instrText xml:space="preserve"> PAGEREF _Toc501711912 \h </w:instrText>
            </w:r>
            <w:r w:rsidR="00864587">
              <w:rPr>
                <w:noProof/>
                <w:webHidden/>
              </w:rPr>
            </w:r>
            <w:r w:rsidR="00864587">
              <w:rPr>
                <w:noProof/>
                <w:webHidden/>
              </w:rPr>
              <w:fldChar w:fldCharType="separate"/>
            </w:r>
            <w:r w:rsidR="00864587">
              <w:rPr>
                <w:noProof/>
                <w:webHidden/>
              </w:rPr>
              <w:t>30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3" w:history="1">
            <w:r w:rsidR="00864587" w:rsidRPr="00977491">
              <w:rPr>
                <w:rStyle w:val="Hyperlink"/>
                <w:noProof/>
              </w:rPr>
              <w:t>Session 5C (Nanyang Technological University, Singapore &amp; Leeds University, UK)</w:t>
            </w:r>
            <w:r w:rsidR="00864587">
              <w:rPr>
                <w:noProof/>
                <w:webHidden/>
              </w:rPr>
              <w:tab/>
            </w:r>
            <w:r w:rsidR="00864587">
              <w:rPr>
                <w:noProof/>
                <w:webHidden/>
              </w:rPr>
              <w:fldChar w:fldCharType="begin"/>
            </w:r>
            <w:r w:rsidR="00864587">
              <w:rPr>
                <w:noProof/>
                <w:webHidden/>
              </w:rPr>
              <w:instrText xml:space="preserve"> PAGEREF _Toc501711913 \h </w:instrText>
            </w:r>
            <w:r w:rsidR="00864587">
              <w:rPr>
                <w:noProof/>
                <w:webHidden/>
              </w:rPr>
            </w:r>
            <w:r w:rsidR="00864587">
              <w:rPr>
                <w:noProof/>
                <w:webHidden/>
              </w:rPr>
              <w:fldChar w:fldCharType="separate"/>
            </w:r>
            <w:r w:rsidR="00864587">
              <w:rPr>
                <w:noProof/>
                <w:webHidden/>
              </w:rPr>
              <w:t>31</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4" w:history="1">
            <w:r w:rsidR="00864587" w:rsidRPr="00977491">
              <w:rPr>
                <w:rStyle w:val="Hyperlink"/>
                <w:noProof/>
              </w:rPr>
              <w:t>Session 5D (Warwick University, UK &amp; Monash University, Malaysia)</w:t>
            </w:r>
            <w:r w:rsidR="00864587">
              <w:rPr>
                <w:noProof/>
                <w:webHidden/>
              </w:rPr>
              <w:tab/>
            </w:r>
            <w:r w:rsidR="00864587">
              <w:rPr>
                <w:noProof/>
                <w:webHidden/>
              </w:rPr>
              <w:fldChar w:fldCharType="begin"/>
            </w:r>
            <w:r w:rsidR="00864587">
              <w:rPr>
                <w:noProof/>
                <w:webHidden/>
              </w:rPr>
              <w:instrText xml:space="preserve"> PAGEREF _Toc501711914 \h </w:instrText>
            </w:r>
            <w:r w:rsidR="00864587">
              <w:rPr>
                <w:noProof/>
                <w:webHidden/>
              </w:rPr>
            </w:r>
            <w:r w:rsidR="00864587">
              <w:rPr>
                <w:noProof/>
                <w:webHidden/>
              </w:rPr>
              <w:fldChar w:fldCharType="separate"/>
            </w:r>
            <w:r w:rsidR="00864587">
              <w:rPr>
                <w:noProof/>
                <w:webHidden/>
              </w:rPr>
              <w:t>32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5" w:history="1">
            <w:r w:rsidR="00864587" w:rsidRPr="00977491">
              <w:rPr>
                <w:rStyle w:val="Hyperlink"/>
                <w:noProof/>
              </w:rPr>
              <w:t>Session 5E (Warwick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_Toc501711915 \h </w:instrText>
            </w:r>
            <w:r w:rsidR="00864587">
              <w:rPr>
                <w:noProof/>
                <w:webHidden/>
              </w:rPr>
            </w:r>
            <w:r w:rsidR="00864587">
              <w:rPr>
                <w:noProof/>
                <w:webHidden/>
              </w:rPr>
              <w:fldChar w:fldCharType="separate"/>
            </w:r>
            <w:r w:rsidR="00864587">
              <w:rPr>
                <w:noProof/>
                <w:webHidden/>
              </w:rPr>
              <w:t>34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6" w:history="1">
            <w:r w:rsidR="00864587" w:rsidRPr="00977491">
              <w:rPr>
                <w:rStyle w:val="Hyperlink"/>
                <w:noProof/>
              </w:rPr>
              <w:t>Session 5F (Monash University, Australia &amp; Warwick University, UK)</w:t>
            </w:r>
            <w:r w:rsidR="00864587">
              <w:rPr>
                <w:noProof/>
                <w:webHidden/>
              </w:rPr>
              <w:tab/>
            </w:r>
            <w:r w:rsidR="00864587">
              <w:rPr>
                <w:noProof/>
                <w:webHidden/>
              </w:rPr>
              <w:fldChar w:fldCharType="begin"/>
            </w:r>
            <w:r w:rsidR="00864587">
              <w:rPr>
                <w:noProof/>
                <w:webHidden/>
              </w:rPr>
              <w:instrText xml:space="preserve"> PAGEREF _Toc501711916 \h </w:instrText>
            </w:r>
            <w:r w:rsidR="00864587">
              <w:rPr>
                <w:noProof/>
                <w:webHidden/>
              </w:rPr>
            </w:r>
            <w:r w:rsidR="00864587">
              <w:rPr>
                <w:noProof/>
                <w:webHidden/>
              </w:rPr>
              <w:fldChar w:fldCharType="separate"/>
            </w:r>
            <w:r w:rsidR="00864587">
              <w:rPr>
                <w:noProof/>
                <w:webHidden/>
              </w:rPr>
              <w:t>36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7" w:history="1">
            <w:r w:rsidR="00864587" w:rsidRPr="00977491">
              <w:rPr>
                <w:rStyle w:val="Hyperlink"/>
                <w:noProof/>
              </w:rPr>
              <w:t>Session 5G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_Toc501711917 \h </w:instrText>
            </w:r>
            <w:r w:rsidR="00864587">
              <w:rPr>
                <w:noProof/>
                <w:webHidden/>
              </w:rPr>
            </w:r>
            <w:r w:rsidR="00864587">
              <w:rPr>
                <w:noProof/>
                <w:webHidden/>
              </w:rPr>
              <w:fldChar w:fldCharType="separate"/>
            </w:r>
            <w:r w:rsidR="00864587">
              <w:rPr>
                <w:noProof/>
                <w:webHidden/>
              </w:rPr>
              <w:t>38</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18" w:history="1">
            <w:r w:rsidR="00864587" w:rsidRPr="00977491">
              <w:rPr>
                <w:rStyle w:val="Hyperlink"/>
                <w:noProof/>
              </w:rPr>
              <w:t>SESSION 6</w:t>
            </w:r>
            <w:r w:rsidR="00864587">
              <w:rPr>
                <w:noProof/>
                <w:webHidden/>
              </w:rPr>
              <w:tab/>
            </w:r>
            <w:r w:rsidR="00864587">
              <w:rPr>
                <w:noProof/>
                <w:webHidden/>
              </w:rPr>
              <w:fldChar w:fldCharType="begin"/>
            </w:r>
            <w:r w:rsidR="00864587">
              <w:rPr>
                <w:noProof/>
                <w:webHidden/>
              </w:rPr>
              <w:instrText xml:space="preserve"> PAGEREF _Toc501711918 \h </w:instrText>
            </w:r>
            <w:r w:rsidR="00864587">
              <w:rPr>
                <w:noProof/>
                <w:webHidden/>
              </w:rPr>
            </w:r>
            <w:r w:rsidR="00864587">
              <w:rPr>
                <w:noProof/>
                <w:webHidden/>
              </w:rPr>
              <w:fldChar w:fldCharType="separate"/>
            </w:r>
            <w:r w:rsidR="00864587">
              <w:rPr>
                <w:noProof/>
                <w:webHidden/>
              </w:rPr>
              <w:t>40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19" w:history="1">
            <w:r w:rsidR="00864587" w:rsidRPr="00977491">
              <w:rPr>
                <w:rStyle w:val="Hyperlink"/>
                <w:noProof/>
              </w:rPr>
              <w:t>Session 6A (Monash University Australia &amp; Monash University South Africa)</w:t>
            </w:r>
            <w:r w:rsidR="00864587">
              <w:rPr>
                <w:noProof/>
                <w:webHidden/>
              </w:rPr>
              <w:tab/>
            </w:r>
            <w:r w:rsidR="00864587">
              <w:rPr>
                <w:noProof/>
                <w:webHidden/>
              </w:rPr>
              <w:fldChar w:fldCharType="begin"/>
            </w:r>
            <w:r w:rsidR="00864587">
              <w:rPr>
                <w:noProof/>
                <w:webHidden/>
              </w:rPr>
              <w:instrText xml:space="preserve"> PAGEREF _Toc501711919 \h </w:instrText>
            </w:r>
            <w:r w:rsidR="00864587">
              <w:rPr>
                <w:noProof/>
                <w:webHidden/>
              </w:rPr>
            </w:r>
            <w:r w:rsidR="00864587">
              <w:rPr>
                <w:noProof/>
                <w:webHidden/>
              </w:rPr>
              <w:fldChar w:fldCharType="separate"/>
            </w:r>
            <w:r w:rsidR="00864587">
              <w:rPr>
                <w:noProof/>
                <w:webHidden/>
              </w:rPr>
              <w:t>40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0" w:history="1">
            <w:r w:rsidR="00864587" w:rsidRPr="00977491">
              <w:rPr>
                <w:rStyle w:val="Hyperlink"/>
                <w:noProof/>
              </w:rPr>
              <w:t>Session 6B (Monash University Australia &amp; Warwick University UK)</w:t>
            </w:r>
            <w:r w:rsidR="00864587">
              <w:rPr>
                <w:noProof/>
                <w:webHidden/>
              </w:rPr>
              <w:tab/>
            </w:r>
            <w:r w:rsidR="00864587">
              <w:rPr>
                <w:noProof/>
                <w:webHidden/>
              </w:rPr>
              <w:fldChar w:fldCharType="begin"/>
            </w:r>
            <w:r w:rsidR="00864587">
              <w:rPr>
                <w:noProof/>
                <w:webHidden/>
              </w:rPr>
              <w:instrText xml:space="preserve"> PAGEREF _Toc501711920 \h </w:instrText>
            </w:r>
            <w:r w:rsidR="00864587">
              <w:rPr>
                <w:noProof/>
                <w:webHidden/>
              </w:rPr>
            </w:r>
            <w:r w:rsidR="00864587">
              <w:rPr>
                <w:noProof/>
                <w:webHidden/>
              </w:rPr>
              <w:fldChar w:fldCharType="separate"/>
            </w:r>
            <w:r w:rsidR="00864587">
              <w:rPr>
                <w:noProof/>
                <w:webHidden/>
              </w:rPr>
              <w:t>42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1" w:history="1">
            <w:r w:rsidR="00864587" w:rsidRPr="00977491">
              <w:rPr>
                <w:rStyle w:val="Hyperlink"/>
                <w:noProof/>
              </w:rPr>
              <w:t>Session 6C (Warwick University, UK &amp; Kyushu University, Japan)</w:t>
            </w:r>
            <w:r w:rsidR="00864587">
              <w:rPr>
                <w:noProof/>
                <w:webHidden/>
              </w:rPr>
              <w:tab/>
            </w:r>
            <w:r w:rsidR="00864587">
              <w:rPr>
                <w:noProof/>
                <w:webHidden/>
              </w:rPr>
              <w:fldChar w:fldCharType="begin"/>
            </w:r>
            <w:r w:rsidR="00864587">
              <w:rPr>
                <w:noProof/>
                <w:webHidden/>
              </w:rPr>
              <w:instrText xml:space="preserve"> PAGEREF _Toc501711921 \h </w:instrText>
            </w:r>
            <w:r w:rsidR="00864587">
              <w:rPr>
                <w:noProof/>
                <w:webHidden/>
              </w:rPr>
            </w:r>
            <w:r w:rsidR="00864587">
              <w:rPr>
                <w:noProof/>
                <w:webHidden/>
              </w:rPr>
              <w:fldChar w:fldCharType="separate"/>
            </w:r>
            <w:r w:rsidR="00864587">
              <w:rPr>
                <w:noProof/>
                <w:webHidden/>
              </w:rPr>
              <w:t>44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2" w:history="1">
            <w:r w:rsidR="00864587" w:rsidRPr="00977491">
              <w:rPr>
                <w:rStyle w:val="Hyperlink"/>
                <w:noProof/>
              </w:rPr>
              <w:t>Session 6D (Warwick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_Toc501711922 \h </w:instrText>
            </w:r>
            <w:r w:rsidR="00864587">
              <w:rPr>
                <w:noProof/>
                <w:webHidden/>
              </w:rPr>
            </w:r>
            <w:r w:rsidR="00864587">
              <w:rPr>
                <w:noProof/>
                <w:webHidden/>
              </w:rPr>
              <w:fldChar w:fldCharType="separate"/>
            </w:r>
            <w:r w:rsidR="00864587">
              <w:rPr>
                <w:noProof/>
                <w:webHidden/>
              </w:rPr>
              <w:t>45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3" w:history="1">
            <w:r w:rsidR="00864587" w:rsidRPr="00977491">
              <w:rPr>
                <w:rStyle w:val="Hyperlink"/>
                <w:noProof/>
              </w:rPr>
              <w:t>Session 6E (Monash University, Australia &amp; University of Leeds, UK)</w:t>
            </w:r>
            <w:r w:rsidR="00864587">
              <w:rPr>
                <w:noProof/>
                <w:webHidden/>
              </w:rPr>
              <w:tab/>
            </w:r>
            <w:r w:rsidR="00864587">
              <w:rPr>
                <w:noProof/>
                <w:webHidden/>
              </w:rPr>
              <w:fldChar w:fldCharType="begin"/>
            </w:r>
            <w:r w:rsidR="00864587">
              <w:rPr>
                <w:noProof/>
                <w:webHidden/>
              </w:rPr>
              <w:instrText xml:space="preserve"> PAGEREF _Toc501711923 \h </w:instrText>
            </w:r>
            <w:r w:rsidR="00864587">
              <w:rPr>
                <w:noProof/>
                <w:webHidden/>
              </w:rPr>
            </w:r>
            <w:r w:rsidR="00864587">
              <w:rPr>
                <w:noProof/>
                <w:webHidden/>
              </w:rPr>
              <w:fldChar w:fldCharType="separate"/>
            </w:r>
            <w:r w:rsidR="00864587">
              <w:rPr>
                <w:noProof/>
                <w:webHidden/>
              </w:rPr>
              <w:t>47</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4" w:history="1">
            <w:r w:rsidR="00864587" w:rsidRPr="00977491">
              <w:rPr>
                <w:rStyle w:val="Hyperlink"/>
                <w:noProof/>
              </w:rPr>
              <w:t>Session 6F (Monash University, Australian &amp; Malaysia)</w:t>
            </w:r>
            <w:r w:rsidR="00864587">
              <w:rPr>
                <w:noProof/>
                <w:webHidden/>
              </w:rPr>
              <w:tab/>
            </w:r>
            <w:r w:rsidR="00864587">
              <w:rPr>
                <w:noProof/>
                <w:webHidden/>
              </w:rPr>
              <w:fldChar w:fldCharType="begin"/>
            </w:r>
            <w:r w:rsidR="00864587">
              <w:rPr>
                <w:noProof/>
                <w:webHidden/>
              </w:rPr>
              <w:instrText xml:space="preserve"> PAGEREF _Toc501711924 \h </w:instrText>
            </w:r>
            <w:r w:rsidR="00864587">
              <w:rPr>
                <w:noProof/>
                <w:webHidden/>
              </w:rPr>
            </w:r>
            <w:r w:rsidR="00864587">
              <w:rPr>
                <w:noProof/>
                <w:webHidden/>
              </w:rPr>
              <w:fldChar w:fldCharType="separate"/>
            </w:r>
            <w:r w:rsidR="00864587">
              <w:rPr>
                <w:noProof/>
                <w:webHidden/>
              </w:rPr>
              <w:t>49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5" w:history="1">
            <w:r w:rsidR="00864587" w:rsidRPr="00977491">
              <w:rPr>
                <w:rStyle w:val="Hyperlink"/>
                <w:noProof/>
              </w:rPr>
              <w:t>Session 6G (Sussex University &amp; Nanyang Technical College, Singapore)</w:t>
            </w:r>
            <w:r w:rsidR="00864587">
              <w:rPr>
                <w:noProof/>
                <w:webHidden/>
              </w:rPr>
              <w:tab/>
            </w:r>
            <w:r w:rsidR="00864587">
              <w:rPr>
                <w:noProof/>
                <w:webHidden/>
              </w:rPr>
              <w:fldChar w:fldCharType="begin"/>
            </w:r>
            <w:r w:rsidR="00864587">
              <w:rPr>
                <w:noProof/>
                <w:webHidden/>
              </w:rPr>
              <w:instrText xml:space="preserve"> PAGEREF _Toc501711925 \h </w:instrText>
            </w:r>
            <w:r w:rsidR="00864587">
              <w:rPr>
                <w:noProof/>
                <w:webHidden/>
              </w:rPr>
            </w:r>
            <w:r w:rsidR="00864587">
              <w:rPr>
                <w:noProof/>
                <w:webHidden/>
              </w:rPr>
              <w:fldChar w:fldCharType="separate"/>
            </w:r>
            <w:r w:rsidR="00864587">
              <w:rPr>
                <w:noProof/>
                <w:webHidden/>
              </w:rPr>
              <w:t>51</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26" w:history="1">
            <w:r w:rsidR="00864587" w:rsidRPr="00977491">
              <w:rPr>
                <w:rStyle w:val="Hyperlink"/>
                <w:noProof/>
              </w:rPr>
              <w:t>SESSION 7</w:t>
            </w:r>
            <w:r w:rsidR="00864587">
              <w:rPr>
                <w:noProof/>
                <w:webHidden/>
              </w:rPr>
              <w:tab/>
            </w:r>
            <w:r w:rsidR="00864587">
              <w:rPr>
                <w:noProof/>
                <w:webHidden/>
              </w:rPr>
              <w:fldChar w:fldCharType="begin"/>
            </w:r>
            <w:r w:rsidR="00864587">
              <w:rPr>
                <w:noProof/>
                <w:webHidden/>
              </w:rPr>
              <w:instrText xml:space="preserve"> PAGEREF _Toc501711926 \h </w:instrText>
            </w:r>
            <w:r w:rsidR="00864587">
              <w:rPr>
                <w:noProof/>
                <w:webHidden/>
              </w:rPr>
            </w:r>
            <w:r w:rsidR="00864587">
              <w:rPr>
                <w:noProof/>
                <w:webHidden/>
              </w:rPr>
              <w:fldChar w:fldCharType="separate"/>
            </w:r>
            <w:r w:rsidR="00864587">
              <w:rPr>
                <w:noProof/>
                <w:webHidden/>
              </w:rPr>
              <w:t>52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7" w:history="1">
            <w:r w:rsidR="00864587" w:rsidRPr="00977491">
              <w:rPr>
                <w:rStyle w:val="Hyperlink"/>
                <w:noProof/>
              </w:rPr>
              <w:t>Session 7A (Warwick University, UK &amp; Monash University, South Africa)</w:t>
            </w:r>
            <w:r w:rsidR="00864587">
              <w:rPr>
                <w:noProof/>
                <w:webHidden/>
              </w:rPr>
              <w:tab/>
            </w:r>
            <w:r w:rsidR="00864587">
              <w:rPr>
                <w:noProof/>
                <w:webHidden/>
              </w:rPr>
              <w:fldChar w:fldCharType="begin"/>
            </w:r>
            <w:r w:rsidR="00864587">
              <w:rPr>
                <w:noProof/>
                <w:webHidden/>
              </w:rPr>
              <w:instrText xml:space="preserve"> PAGEREF _Toc501711927 \h </w:instrText>
            </w:r>
            <w:r w:rsidR="00864587">
              <w:rPr>
                <w:noProof/>
                <w:webHidden/>
              </w:rPr>
            </w:r>
            <w:r w:rsidR="00864587">
              <w:rPr>
                <w:noProof/>
                <w:webHidden/>
              </w:rPr>
              <w:fldChar w:fldCharType="separate"/>
            </w:r>
            <w:r w:rsidR="00864587">
              <w:rPr>
                <w:noProof/>
                <w:webHidden/>
              </w:rPr>
              <w:t>52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8" w:history="1">
            <w:r w:rsidR="00864587" w:rsidRPr="00977491">
              <w:rPr>
                <w:rStyle w:val="Hyperlink"/>
                <w:noProof/>
              </w:rPr>
              <w:t>Session 7B (Warwick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_Toc501711928 \h </w:instrText>
            </w:r>
            <w:r w:rsidR="00864587">
              <w:rPr>
                <w:noProof/>
                <w:webHidden/>
              </w:rPr>
            </w:r>
            <w:r w:rsidR="00864587">
              <w:rPr>
                <w:noProof/>
                <w:webHidden/>
              </w:rPr>
              <w:fldChar w:fldCharType="separate"/>
            </w:r>
            <w:r w:rsidR="00864587">
              <w:rPr>
                <w:noProof/>
                <w:webHidden/>
              </w:rPr>
              <w:t>54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29" w:history="1">
            <w:r w:rsidR="00864587" w:rsidRPr="00977491">
              <w:rPr>
                <w:rStyle w:val="Hyperlink"/>
                <w:noProof/>
              </w:rPr>
              <w:t>Session 7C (Warwick University, UK, University of Leeds,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_Toc501711929 \h </w:instrText>
            </w:r>
            <w:r w:rsidR="00864587">
              <w:rPr>
                <w:noProof/>
                <w:webHidden/>
              </w:rPr>
            </w:r>
            <w:r w:rsidR="00864587">
              <w:rPr>
                <w:noProof/>
                <w:webHidden/>
              </w:rPr>
              <w:fldChar w:fldCharType="separate"/>
            </w:r>
            <w:r w:rsidR="00864587">
              <w:rPr>
                <w:noProof/>
                <w:webHidden/>
              </w:rPr>
              <w:t>55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0" w:history="1">
            <w:r w:rsidR="00864587" w:rsidRPr="00977491">
              <w:rPr>
                <w:rStyle w:val="Hyperlink"/>
                <w:noProof/>
              </w:rPr>
              <w:t>Session 7D (Sussex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_Toc501711930 \h </w:instrText>
            </w:r>
            <w:r w:rsidR="00864587">
              <w:rPr>
                <w:noProof/>
                <w:webHidden/>
              </w:rPr>
            </w:r>
            <w:r w:rsidR="00864587">
              <w:rPr>
                <w:noProof/>
                <w:webHidden/>
              </w:rPr>
              <w:fldChar w:fldCharType="separate"/>
            </w:r>
            <w:r w:rsidR="00864587">
              <w:rPr>
                <w:noProof/>
                <w:webHidden/>
              </w:rPr>
              <w:t>57</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31" w:history="1">
            <w:r w:rsidR="00864587" w:rsidRPr="00977491">
              <w:rPr>
                <w:rStyle w:val="Hyperlink"/>
                <w:noProof/>
              </w:rPr>
              <w:t>SESSION 8</w:t>
            </w:r>
            <w:r w:rsidR="00864587">
              <w:rPr>
                <w:noProof/>
                <w:webHidden/>
              </w:rPr>
              <w:tab/>
            </w:r>
            <w:r w:rsidR="00864587">
              <w:rPr>
                <w:noProof/>
                <w:webHidden/>
              </w:rPr>
              <w:fldChar w:fldCharType="begin"/>
            </w:r>
            <w:r w:rsidR="00864587">
              <w:rPr>
                <w:noProof/>
                <w:webHidden/>
              </w:rPr>
              <w:instrText xml:space="preserve"> PAGEREF _Toc501711931 \h </w:instrText>
            </w:r>
            <w:r w:rsidR="00864587">
              <w:rPr>
                <w:noProof/>
                <w:webHidden/>
              </w:rPr>
            </w:r>
            <w:r w:rsidR="00864587">
              <w:rPr>
                <w:noProof/>
                <w:webHidden/>
              </w:rPr>
              <w:fldChar w:fldCharType="separate"/>
            </w:r>
            <w:r w:rsidR="00864587">
              <w:rPr>
                <w:noProof/>
                <w:webHidden/>
              </w:rPr>
              <w:t>58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2" w:history="1">
            <w:r w:rsidR="00864587" w:rsidRPr="00977491">
              <w:rPr>
                <w:rStyle w:val="Hyperlink"/>
                <w:noProof/>
              </w:rPr>
              <w:t>Session 8A (Warwick University, UK &amp; Monash University, South Africa)</w:t>
            </w:r>
            <w:r w:rsidR="00864587">
              <w:rPr>
                <w:noProof/>
                <w:webHidden/>
              </w:rPr>
              <w:tab/>
            </w:r>
            <w:r w:rsidR="00864587">
              <w:rPr>
                <w:noProof/>
                <w:webHidden/>
              </w:rPr>
              <w:fldChar w:fldCharType="begin"/>
            </w:r>
            <w:r w:rsidR="00864587">
              <w:rPr>
                <w:noProof/>
                <w:webHidden/>
              </w:rPr>
              <w:instrText xml:space="preserve"> PAGEREF _Toc501711932 \h </w:instrText>
            </w:r>
            <w:r w:rsidR="00864587">
              <w:rPr>
                <w:noProof/>
                <w:webHidden/>
              </w:rPr>
            </w:r>
            <w:r w:rsidR="00864587">
              <w:rPr>
                <w:noProof/>
                <w:webHidden/>
              </w:rPr>
              <w:fldChar w:fldCharType="separate"/>
            </w:r>
            <w:r w:rsidR="00864587">
              <w:rPr>
                <w:noProof/>
                <w:webHidden/>
              </w:rPr>
              <w:t>58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3" w:history="1">
            <w:r w:rsidR="00864587" w:rsidRPr="00977491">
              <w:rPr>
                <w:rStyle w:val="Hyperlink"/>
                <w:noProof/>
              </w:rPr>
              <w:t>Session 8B (Warwick University, UK, Leeds University, UK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_Toc501711933 \h </w:instrText>
            </w:r>
            <w:r w:rsidR="00864587">
              <w:rPr>
                <w:noProof/>
                <w:webHidden/>
              </w:rPr>
            </w:r>
            <w:r w:rsidR="00864587">
              <w:rPr>
                <w:noProof/>
                <w:webHidden/>
              </w:rPr>
              <w:fldChar w:fldCharType="separate"/>
            </w:r>
            <w:r w:rsidR="00864587">
              <w:rPr>
                <w:noProof/>
                <w:webHidden/>
              </w:rPr>
              <w:t>60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4" w:history="1">
            <w:r w:rsidR="00864587" w:rsidRPr="00977491">
              <w:rPr>
                <w:rStyle w:val="Hyperlink"/>
                <w:noProof/>
              </w:rPr>
              <w:t>Session 8C (Warwick University, UK &amp; Sussex University, UK)</w:t>
            </w:r>
            <w:r w:rsidR="00864587">
              <w:rPr>
                <w:noProof/>
                <w:webHidden/>
              </w:rPr>
              <w:tab/>
            </w:r>
            <w:r w:rsidR="00864587">
              <w:rPr>
                <w:noProof/>
                <w:webHidden/>
              </w:rPr>
              <w:fldChar w:fldCharType="begin"/>
            </w:r>
            <w:r w:rsidR="00864587">
              <w:rPr>
                <w:noProof/>
                <w:webHidden/>
              </w:rPr>
              <w:instrText xml:space="preserve"> PAGEREF _Toc501711934 \h </w:instrText>
            </w:r>
            <w:r w:rsidR="00864587">
              <w:rPr>
                <w:noProof/>
                <w:webHidden/>
              </w:rPr>
            </w:r>
            <w:r w:rsidR="00864587">
              <w:rPr>
                <w:noProof/>
                <w:webHidden/>
              </w:rPr>
              <w:fldChar w:fldCharType="separate"/>
            </w:r>
            <w:r w:rsidR="00864587">
              <w:rPr>
                <w:noProof/>
                <w:webHidden/>
              </w:rPr>
              <w:t>62</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35" w:history="1">
            <w:r w:rsidR="00864587" w:rsidRPr="00977491">
              <w:rPr>
                <w:rStyle w:val="Hyperlink"/>
                <w:noProof/>
              </w:rPr>
              <w:t>SESSION 9</w:t>
            </w:r>
            <w:r w:rsidR="00864587">
              <w:rPr>
                <w:noProof/>
                <w:webHidden/>
              </w:rPr>
              <w:tab/>
            </w:r>
            <w:r w:rsidR="00864587">
              <w:rPr>
                <w:noProof/>
                <w:webHidden/>
              </w:rPr>
              <w:fldChar w:fldCharType="begin"/>
            </w:r>
            <w:r w:rsidR="00864587">
              <w:rPr>
                <w:noProof/>
                <w:webHidden/>
              </w:rPr>
              <w:instrText xml:space="preserve"> PAGEREF _Toc501711935 \h </w:instrText>
            </w:r>
            <w:r w:rsidR="00864587">
              <w:rPr>
                <w:noProof/>
                <w:webHidden/>
              </w:rPr>
            </w:r>
            <w:r w:rsidR="00864587">
              <w:rPr>
                <w:noProof/>
                <w:webHidden/>
              </w:rPr>
              <w:fldChar w:fldCharType="separate"/>
            </w:r>
            <w:r w:rsidR="00864587">
              <w:rPr>
                <w:noProof/>
                <w:webHidden/>
              </w:rPr>
              <w:t>64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6" w:history="1">
            <w:r w:rsidR="00864587" w:rsidRPr="00977491">
              <w:rPr>
                <w:rStyle w:val="Hyperlink"/>
                <w:noProof/>
              </w:rPr>
              <w:t>Session 9A (Warwick University, UK, Leeds University, UK &amp; Monash University, South Africa)</w:t>
            </w:r>
            <w:r w:rsidR="00864587">
              <w:rPr>
                <w:noProof/>
                <w:webHidden/>
              </w:rPr>
              <w:tab/>
            </w:r>
            <w:r w:rsidR="00864587">
              <w:rPr>
                <w:noProof/>
                <w:webHidden/>
              </w:rPr>
              <w:fldChar w:fldCharType="begin"/>
            </w:r>
            <w:r w:rsidR="00864587">
              <w:rPr>
                <w:noProof/>
                <w:webHidden/>
              </w:rPr>
              <w:instrText xml:space="preserve"> PAGEREF _Toc501711936 \h </w:instrText>
            </w:r>
            <w:r w:rsidR="00864587">
              <w:rPr>
                <w:noProof/>
                <w:webHidden/>
              </w:rPr>
            </w:r>
            <w:r w:rsidR="00864587">
              <w:rPr>
                <w:noProof/>
                <w:webHidden/>
              </w:rPr>
              <w:fldChar w:fldCharType="separate"/>
            </w:r>
            <w:r w:rsidR="00864587">
              <w:rPr>
                <w:noProof/>
                <w:webHidden/>
              </w:rPr>
              <w:t>64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7" w:history="1">
            <w:r w:rsidR="00864587" w:rsidRPr="00977491">
              <w:rPr>
                <w:rStyle w:val="Hyperlink"/>
                <w:noProof/>
              </w:rPr>
              <w:t>Session 9B (Warwick University, UK, Sussex University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_Toc501711937 \h </w:instrText>
            </w:r>
            <w:r w:rsidR="00864587">
              <w:rPr>
                <w:noProof/>
                <w:webHidden/>
              </w:rPr>
            </w:r>
            <w:r w:rsidR="00864587">
              <w:rPr>
                <w:noProof/>
                <w:webHidden/>
              </w:rPr>
              <w:fldChar w:fldCharType="separate"/>
            </w:r>
            <w:r w:rsidR="00864587">
              <w:rPr>
                <w:noProof/>
                <w:webHidden/>
              </w:rPr>
              <w:t>66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38" w:history="1">
            <w:r w:rsidR="00864587" w:rsidRPr="00977491">
              <w:rPr>
                <w:rStyle w:val="Hyperlink"/>
                <w:noProof/>
              </w:rPr>
              <w:t>Session 9C (Warwick University, UK)</w:t>
            </w:r>
            <w:r w:rsidR="00864587">
              <w:rPr>
                <w:noProof/>
                <w:webHidden/>
              </w:rPr>
              <w:tab/>
            </w:r>
            <w:r w:rsidR="00864587">
              <w:rPr>
                <w:noProof/>
                <w:webHidden/>
              </w:rPr>
              <w:fldChar w:fldCharType="begin"/>
            </w:r>
            <w:r w:rsidR="00864587">
              <w:rPr>
                <w:noProof/>
                <w:webHidden/>
              </w:rPr>
              <w:instrText xml:space="preserve"> PAGEREF _Toc501711938 \h </w:instrText>
            </w:r>
            <w:r w:rsidR="00864587">
              <w:rPr>
                <w:noProof/>
                <w:webHidden/>
              </w:rPr>
            </w:r>
            <w:r w:rsidR="00864587">
              <w:rPr>
                <w:noProof/>
                <w:webHidden/>
              </w:rPr>
              <w:fldChar w:fldCharType="separate"/>
            </w:r>
            <w:r w:rsidR="00864587">
              <w:rPr>
                <w:noProof/>
                <w:webHidden/>
              </w:rPr>
              <w:t>68</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39" w:history="1">
            <w:r w:rsidR="00864587" w:rsidRPr="00977491">
              <w:rPr>
                <w:rStyle w:val="Hyperlink"/>
                <w:noProof/>
              </w:rPr>
              <w:t>SESSION 10</w:t>
            </w:r>
            <w:r w:rsidR="00864587">
              <w:rPr>
                <w:noProof/>
                <w:webHidden/>
              </w:rPr>
              <w:tab/>
            </w:r>
            <w:r w:rsidR="00864587">
              <w:rPr>
                <w:noProof/>
                <w:webHidden/>
              </w:rPr>
              <w:fldChar w:fldCharType="begin"/>
            </w:r>
            <w:r w:rsidR="00864587">
              <w:rPr>
                <w:noProof/>
                <w:webHidden/>
              </w:rPr>
              <w:instrText xml:space="preserve"> PAGEREF _Toc501711939 \h </w:instrText>
            </w:r>
            <w:r w:rsidR="00864587">
              <w:rPr>
                <w:noProof/>
                <w:webHidden/>
              </w:rPr>
            </w:r>
            <w:r w:rsidR="00864587">
              <w:rPr>
                <w:noProof/>
                <w:webHidden/>
              </w:rPr>
              <w:fldChar w:fldCharType="separate"/>
            </w:r>
            <w:r w:rsidR="00864587">
              <w:rPr>
                <w:noProof/>
                <w:webHidden/>
              </w:rPr>
              <w:t>70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0" w:history="1">
            <w:r w:rsidR="00864587" w:rsidRPr="00977491">
              <w:rPr>
                <w:rStyle w:val="Hyperlink"/>
                <w:noProof/>
              </w:rPr>
              <w:t>Session 10A (Warwick University, UK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_Toc501711940 \h </w:instrText>
            </w:r>
            <w:r w:rsidR="00864587">
              <w:rPr>
                <w:noProof/>
                <w:webHidden/>
              </w:rPr>
            </w:r>
            <w:r w:rsidR="00864587">
              <w:rPr>
                <w:noProof/>
                <w:webHidden/>
              </w:rPr>
              <w:fldChar w:fldCharType="separate"/>
            </w:r>
            <w:r w:rsidR="00864587">
              <w:rPr>
                <w:noProof/>
                <w:webHidden/>
              </w:rPr>
              <w:t>70</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41" w:history="1">
            <w:r w:rsidR="00864587" w:rsidRPr="00977491">
              <w:rPr>
                <w:rStyle w:val="Hyperlink"/>
                <w:noProof/>
              </w:rPr>
              <w:t>SESSION 11</w:t>
            </w:r>
            <w:r w:rsidR="00864587">
              <w:rPr>
                <w:noProof/>
                <w:webHidden/>
              </w:rPr>
              <w:tab/>
            </w:r>
            <w:r w:rsidR="00864587">
              <w:rPr>
                <w:noProof/>
                <w:webHidden/>
              </w:rPr>
              <w:fldChar w:fldCharType="begin"/>
            </w:r>
            <w:r w:rsidR="00864587">
              <w:rPr>
                <w:noProof/>
                <w:webHidden/>
              </w:rPr>
              <w:instrText xml:space="preserve"> PAGEREF _Toc501711941 \h </w:instrText>
            </w:r>
            <w:r w:rsidR="00864587">
              <w:rPr>
                <w:noProof/>
                <w:webHidden/>
              </w:rPr>
            </w:r>
            <w:r w:rsidR="00864587">
              <w:rPr>
                <w:noProof/>
                <w:webHidden/>
              </w:rPr>
              <w:fldChar w:fldCharType="separate"/>
            </w:r>
            <w:r w:rsidR="00864587">
              <w:rPr>
                <w:noProof/>
                <w:webHidden/>
              </w:rPr>
              <w:t>72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2" w:history="1">
            <w:r w:rsidR="00864587" w:rsidRPr="00977491">
              <w:rPr>
                <w:rStyle w:val="Hyperlink"/>
                <w:noProof/>
              </w:rPr>
              <w:t>Session 11A (Monash University, Australia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_Toc501711942 \h </w:instrText>
            </w:r>
            <w:r w:rsidR="00864587">
              <w:rPr>
                <w:noProof/>
                <w:webHidden/>
              </w:rPr>
            </w:r>
            <w:r w:rsidR="00864587">
              <w:rPr>
                <w:noProof/>
                <w:webHidden/>
              </w:rPr>
              <w:fldChar w:fldCharType="separate"/>
            </w:r>
            <w:r w:rsidR="00864587">
              <w:rPr>
                <w:noProof/>
                <w:webHidden/>
              </w:rPr>
              <w:t>72</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3" w:history="1">
            <w:r w:rsidR="00864587" w:rsidRPr="00977491">
              <w:rPr>
                <w:rStyle w:val="Hyperlink"/>
                <w:noProof/>
              </w:rPr>
              <w:t>Session 11B (Monash University, Australia &amp; Baruch College, Cuty University of New York, USA)</w:t>
            </w:r>
            <w:r w:rsidR="00864587">
              <w:rPr>
                <w:noProof/>
                <w:webHidden/>
              </w:rPr>
              <w:tab/>
            </w:r>
            <w:r w:rsidR="00864587">
              <w:rPr>
                <w:noProof/>
                <w:webHidden/>
              </w:rPr>
              <w:fldChar w:fldCharType="begin"/>
            </w:r>
            <w:r w:rsidR="00864587">
              <w:rPr>
                <w:noProof/>
                <w:webHidden/>
              </w:rPr>
              <w:instrText xml:space="preserve"> PAGEREF _Toc501711943 \h </w:instrText>
            </w:r>
            <w:r w:rsidR="00864587">
              <w:rPr>
                <w:noProof/>
                <w:webHidden/>
              </w:rPr>
            </w:r>
            <w:r w:rsidR="00864587">
              <w:rPr>
                <w:noProof/>
                <w:webHidden/>
              </w:rPr>
              <w:fldChar w:fldCharType="separate"/>
            </w:r>
            <w:r w:rsidR="00864587">
              <w:rPr>
                <w:noProof/>
                <w:webHidden/>
              </w:rPr>
              <w:t>74</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44" w:history="1">
            <w:r w:rsidR="00864587" w:rsidRPr="00977491">
              <w:rPr>
                <w:rStyle w:val="Hyperlink"/>
                <w:noProof/>
              </w:rPr>
              <w:t>SESSION 12</w:t>
            </w:r>
            <w:r w:rsidR="00864587">
              <w:rPr>
                <w:noProof/>
                <w:webHidden/>
              </w:rPr>
              <w:tab/>
            </w:r>
            <w:r w:rsidR="00864587">
              <w:rPr>
                <w:noProof/>
                <w:webHidden/>
              </w:rPr>
              <w:fldChar w:fldCharType="begin"/>
            </w:r>
            <w:r w:rsidR="00864587">
              <w:rPr>
                <w:noProof/>
                <w:webHidden/>
              </w:rPr>
              <w:instrText xml:space="preserve"> PAGEREF _Toc501711944 \h </w:instrText>
            </w:r>
            <w:r w:rsidR="00864587">
              <w:rPr>
                <w:noProof/>
                <w:webHidden/>
              </w:rPr>
            </w:r>
            <w:r w:rsidR="00864587">
              <w:rPr>
                <w:noProof/>
                <w:webHidden/>
              </w:rPr>
              <w:fldChar w:fldCharType="separate"/>
            </w:r>
            <w:r w:rsidR="00864587">
              <w:rPr>
                <w:noProof/>
                <w:webHidden/>
              </w:rPr>
              <w:t>75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5" w:history="1">
            <w:r w:rsidR="00864587" w:rsidRPr="00977491">
              <w:rPr>
                <w:rStyle w:val="Hyperlink"/>
                <w:noProof/>
              </w:rPr>
              <w:t>Session 12A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_Toc501711945 \h </w:instrText>
            </w:r>
            <w:r w:rsidR="00864587">
              <w:rPr>
                <w:noProof/>
                <w:webHidden/>
              </w:rPr>
            </w:r>
            <w:r w:rsidR="00864587">
              <w:rPr>
                <w:noProof/>
                <w:webHidden/>
              </w:rPr>
              <w:fldChar w:fldCharType="separate"/>
            </w:r>
            <w:r w:rsidR="00864587">
              <w:rPr>
                <w:noProof/>
                <w:webHidden/>
              </w:rPr>
              <w:t>75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6" w:history="1">
            <w:r w:rsidR="00864587" w:rsidRPr="00977491">
              <w:rPr>
                <w:rStyle w:val="Hyperlink"/>
                <w:noProof/>
              </w:rPr>
              <w:t>Session 12B (Monash University, Australia)</w:t>
            </w:r>
            <w:r w:rsidR="00864587">
              <w:rPr>
                <w:noProof/>
                <w:webHidden/>
              </w:rPr>
              <w:tab/>
            </w:r>
            <w:r w:rsidR="00864587">
              <w:rPr>
                <w:noProof/>
                <w:webHidden/>
              </w:rPr>
              <w:fldChar w:fldCharType="begin"/>
            </w:r>
            <w:r w:rsidR="00864587">
              <w:rPr>
                <w:noProof/>
                <w:webHidden/>
              </w:rPr>
              <w:instrText xml:space="preserve"> PAGEREF _Toc501711946 \h </w:instrText>
            </w:r>
            <w:r w:rsidR="00864587">
              <w:rPr>
                <w:noProof/>
                <w:webHidden/>
              </w:rPr>
            </w:r>
            <w:r w:rsidR="00864587">
              <w:rPr>
                <w:noProof/>
                <w:webHidden/>
              </w:rPr>
              <w:fldChar w:fldCharType="separate"/>
            </w:r>
            <w:r w:rsidR="00864587">
              <w:rPr>
                <w:noProof/>
                <w:webHidden/>
              </w:rPr>
              <w:t>76</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47" w:history="1">
            <w:r w:rsidR="00864587" w:rsidRPr="00977491">
              <w:rPr>
                <w:rStyle w:val="Hyperlink"/>
                <w:noProof/>
              </w:rPr>
              <w:t>SESSION 13</w:t>
            </w:r>
            <w:r w:rsidR="00864587">
              <w:rPr>
                <w:noProof/>
                <w:webHidden/>
              </w:rPr>
              <w:tab/>
            </w:r>
            <w:r w:rsidR="00864587">
              <w:rPr>
                <w:noProof/>
                <w:webHidden/>
              </w:rPr>
              <w:fldChar w:fldCharType="begin"/>
            </w:r>
            <w:r w:rsidR="00864587">
              <w:rPr>
                <w:noProof/>
                <w:webHidden/>
              </w:rPr>
              <w:instrText xml:space="preserve"> PAGEREF _Toc501711947 \h </w:instrText>
            </w:r>
            <w:r w:rsidR="00864587">
              <w:rPr>
                <w:noProof/>
                <w:webHidden/>
              </w:rPr>
            </w:r>
            <w:r w:rsidR="00864587">
              <w:rPr>
                <w:noProof/>
                <w:webHidden/>
              </w:rPr>
              <w:fldChar w:fldCharType="separate"/>
            </w:r>
            <w:r w:rsidR="00864587">
              <w:rPr>
                <w:noProof/>
                <w:webHidden/>
              </w:rPr>
              <w:t>78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8" w:history="1">
            <w:r w:rsidR="00864587" w:rsidRPr="00977491">
              <w:rPr>
                <w:rStyle w:val="Hyperlink"/>
                <w:noProof/>
              </w:rPr>
              <w:t>Session 13A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_Toc501711948 \h </w:instrText>
            </w:r>
            <w:r w:rsidR="00864587">
              <w:rPr>
                <w:noProof/>
                <w:webHidden/>
              </w:rPr>
            </w:r>
            <w:r w:rsidR="00864587">
              <w:rPr>
                <w:noProof/>
                <w:webHidden/>
              </w:rPr>
              <w:fldChar w:fldCharType="separate"/>
            </w:r>
            <w:r w:rsidR="00864587">
              <w:rPr>
                <w:noProof/>
                <w:webHidden/>
              </w:rPr>
              <w:t>78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49" w:history="1">
            <w:r w:rsidR="00864587" w:rsidRPr="00977491">
              <w:rPr>
                <w:rStyle w:val="Hyperlink"/>
                <w:noProof/>
              </w:rPr>
              <w:t>Session 13B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_Toc501711949 \h </w:instrText>
            </w:r>
            <w:r w:rsidR="00864587">
              <w:rPr>
                <w:noProof/>
                <w:webHidden/>
              </w:rPr>
            </w:r>
            <w:r w:rsidR="00864587">
              <w:rPr>
                <w:noProof/>
                <w:webHidden/>
              </w:rPr>
              <w:fldChar w:fldCharType="separate"/>
            </w:r>
            <w:r w:rsidR="00864587">
              <w:rPr>
                <w:noProof/>
                <w:webHidden/>
              </w:rPr>
              <w:t>79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0" w:history="1">
            <w:r w:rsidR="00864587" w:rsidRPr="00977491">
              <w:rPr>
                <w:rStyle w:val="Hyperlink"/>
                <w:noProof/>
              </w:rPr>
              <w:t>Session 13C (Monash University, Australia)</w:t>
            </w:r>
            <w:r w:rsidR="00864587">
              <w:rPr>
                <w:noProof/>
                <w:webHidden/>
              </w:rPr>
              <w:tab/>
            </w:r>
            <w:r w:rsidR="00864587">
              <w:rPr>
                <w:noProof/>
                <w:webHidden/>
              </w:rPr>
              <w:fldChar w:fldCharType="begin"/>
            </w:r>
            <w:r w:rsidR="00864587">
              <w:rPr>
                <w:noProof/>
                <w:webHidden/>
              </w:rPr>
              <w:instrText xml:space="preserve"> PAGEREF _Toc501711950 \h </w:instrText>
            </w:r>
            <w:r w:rsidR="00864587">
              <w:rPr>
                <w:noProof/>
                <w:webHidden/>
              </w:rPr>
            </w:r>
            <w:r w:rsidR="00864587">
              <w:rPr>
                <w:noProof/>
                <w:webHidden/>
              </w:rPr>
              <w:fldChar w:fldCharType="separate"/>
            </w:r>
            <w:r w:rsidR="00864587">
              <w:rPr>
                <w:noProof/>
                <w:webHidden/>
              </w:rPr>
              <w:t>81</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51" w:history="1">
            <w:r w:rsidR="00864587" w:rsidRPr="00977491">
              <w:rPr>
                <w:rStyle w:val="Hyperlink"/>
                <w:noProof/>
              </w:rPr>
              <w:t>SESSION 14</w:t>
            </w:r>
            <w:r w:rsidR="00864587">
              <w:rPr>
                <w:noProof/>
                <w:webHidden/>
              </w:rPr>
              <w:tab/>
            </w:r>
            <w:r w:rsidR="00864587">
              <w:rPr>
                <w:noProof/>
                <w:webHidden/>
              </w:rPr>
              <w:fldChar w:fldCharType="begin"/>
            </w:r>
            <w:r w:rsidR="00864587">
              <w:rPr>
                <w:noProof/>
                <w:webHidden/>
              </w:rPr>
              <w:instrText xml:space="preserve"> PAGEREF _Toc501711951 \h </w:instrText>
            </w:r>
            <w:r w:rsidR="00864587">
              <w:rPr>
                <w:noProof/>
                <w:webHidden/>
              </w:rPr>
            </w:r>
            <w:r w:rsidR="00864587">
              <w:rPr>
                <w:noProof/>
                <w:webHidden/>
              </w:rPr>
              <w:fldChar w:fldCharType="separate"/>
            </w:r>
            <w:r w:rsidR="00864587">
              <w:rPr>
                <w:noProof/>
                <w:webHidden/>
              </w:rPr>
              <w:t>83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2" w:history="1">
            <w:r w:rsidR="00864587" w:rsidRPr="00977491">
              <w:rPr>
                <w:rStyle w:val="Hyperlink"/>
                <w:noProof/>
              </w:rPr>
              <w:t>Session 14A (Monash University, Australia &amp; Monash University, Malaysia)</w:t>
            </w:r>
            <w:r w:rsidR="00864587">
              <w:rPr>
                <w:noProof/>
                <w:webHidden/>
              </w:rPr>
              <w:tab/>
            </w:r>
            <w:r w:rsidR="00864587">
              <w:rPr>
                <w:noProof/>
                <w:webHidden/>
              </w:rPr>
              <w:fldChar w:fldCharType="begin"/>
            </w:r>
            <w:r w:rsidR="00864587">
              <w:rPr>
                <w:noProof/>
                <w:webHidden/>
              </w:rPr>
              <w:instrText xml:space="preserve"> PAGEREF _Toc501711952 \h </w:instrText>
            </w:r>
            <w:r w:rsidR="00864587">
              <w:rPr>
                <w:noProof/>
                <w:webHidden/>
              </w:rPr>
            </w:r>
            <w:r w:rsidR="00864587">
              <w:rPr>
                <w:noProof/>
                <w:webHidden/>
              </w:rPr>
              <w:fldChar w:fldCharType="separate"/>
            </w:r>
            <w:r w:rsidR="00864587">
              <w:rPr>
                <w:noProof/>
                <w:webHidden/>
              </w:rPr>
              <w:t>83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3" w:history="1">
            <w:r w:rsidR="00864587" w:rsidRPr="00977491">
              <w:rPr>
                <w:rStyle w:val="Hyperlink"/>
                <w:noProof/>
              </w:rPr>
              <w:t>Session 14B (Monash University, Australia &amp; Kyushu University, Japan)</w:t>
            </w:r>
            <w:r w:rsidR="00864587">
              <w:rPr>
                <w:noProof/>
                <w:webHidden/>
              </w:rPr>
              <w:tab/>
            </w:r>
            <w:r w:rsidR="00864587">
              <w:rPr>
                <w:noProof/>
                <w:webHidden/>
              </w:rPr>
              <w:fldChar w:fldCharType="begin"/>
            </w:r>
            <w:r w:rsidR="00864587">
              <w:rPr>
                <w:noProof/>
                <w:webHidden/>
              </w:rPr>
              <w:instrText xml:space="preserve"> PAGEREF _Toc501711953 \h </w:instrText>
            </w:r>
            <w:r w:rsidR="00864587">
              <w:rPr>
                <w:noProof/>
                <w:webHidden/>
              </w:rPr>
            </w:r>
            <w:r w:rsidR="00864587">
              <w:rPr>
                <w:noProof/>
                <w:webHidden/>
              </w:rPr>
              <w:fldChar w:fldCharType="separate"/>
            </w:r>
            <w:r w:rsidR="00864587">
              <w:rPr>
                <w:noProof/>
                <w:webHidden/>
              </w:rPr>
              <w:t>85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4" w:history="1">
            <w:r w:rsidR="00864587" w:rsidRPr="00977491">
              <w:rPr>
                <w:rStyle w:val="Hyperlink"/>
                <w:noProof/>
              </w:rPr>
              <w:t>Session 14C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_Toc501711954 \h </w:instrText>
            </w:r>
            <w:r w:rsidR="00864587">
              <w:rPr>
                <w:noProof/>
                <w:webHidden/>
              </w:rPr>
            </w:r>
            <w:r w:rsidR="00864587">
              <w:rPr>
                <w:noProof/>
                <w:webHidden/>
              </w:rPr>
              <w:fldChar w:fldCharType="separate"/>
            </w:r>
            <w:r w:rsidR="00864587">
              <w:rPr>
                <w:noProof/>
                <w:webHidden/>
              </w:rPr>
              <w:t>86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5" w:history="1">
            <w:r w:rsidR="00864587" w:rsidRPr="00977491">
              <w:rPr>
                <w:rStyle w:val="Hyperlink"/>
                <w:noProof/>
              </w:rPr>
              <w:t>Session 14D (Monash University, Australia &amp; University of Brawijaya, Indonesia)</w:t>
            </w:r>
            <w:r w:rsidR="00864587">
              <w:rPr>
                <w:noProof/>
                <w:webHidden/>
              </w:rPr>
              <w:tab/>
            </w:r>
            <w:r w:rsidR="00864587">
              <w:rPr>
                <w:noProof/>
                <w:webHidden/>
              </w:rPr>
              <w:fldChar w:fldCharType="begin"/>
            </w:r>
            <w:r w:rsidR="00864587">
              <w:rPr>
                <w:noProof/>
                <w:webHidden/>
              </w:rPr>
              <w:instrText xml:space="preserve"> PAGEREF _Toc501711955 \h </w:instrText>
            </w:r>
            <w:r w:rsidR="00864587">
              <w:rPr>
                <w:noProof/>
                <w:webHidden/>
              </w:rPr>
            </w:r>
            <w:r w:rsidR="00864587">
              <w:rPr>
                <w:noProof/>
                <w:webHidden/>
              </w:rPr>
              <w:fldChar w:fldCharType="separate"/>
            </w:r>
            <w:r w:rsidR="00864587">
              <w:rPr>
                <w:noProof/>
                <w:webHidden/>
              </w:rPr>
              <w:t>88</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56" w:history="1">
            <w:r w:rsidR="00864587" w:rsidRPr="00977491">
              <w:rPr>
                <w:rStyle w:val="Hyperlink"/>
                <w:noProof/>
              </w:rPr>
              <w:t>SESSION 15</w:t>
            </w:r>
            <w:r w:rsidR="00864587">
              <w:rPr>
                <w:noProof/>
                <w:webHidden/>
              </w:rPr>
              <w:tab/>
            </w:r>
            <w:r w:rsidR="00864587">
              <w:rPr>
                <w:noProof/>
                <w:webHidden/>
              </w:rPr>
              <w:fldChar w:fldCharType="begin"/>
            </w:r>
            <w:r w:rsidR="00864587">
              <w:rPr>
                <w:noProof/>
                <w:webHidden/>
              </w:rPr>
              <w:instrText xml:space="preserve"> PAGEREF _Toc501711956 \h </w:instrText>
            </w:r>
            <w:r w:rsidR="00864587">
              <w:rPr>
                <w:noProof/>
                <w:webHidden/>
              </w:rPr>
            </w:r>
            <w:r w:rsidR="00864587">
              <w:rPr>
                <w:noProof/>
                <w:webHidden/>
              </w:rPr>
              <w:fldChar w:fldCharType="separate"/>
            </w:r>
            <w:r w:rsidR="00864587">
              <w:rPr>
                <w:noProof/>
                <w:webHidden/>
              </w:rPr>
              <w:t>89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7" w:history="1">
            <w:r w:rsidR="00864587" w:rsidRPr="00977491">
              <w:rPr>
                <w:rStyle w:val="Hyperlink"/>
                <w:noProof/>
              </w:rPr>
              <w:t>Session 15A (Monash University, Australia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_Toc501711957 \h </w:instrText>
            </w:r>
            <w:r w:rsidR="00864587">
              <w:rPr>
                <w:noProof/>
                <w:webHidden/>
              </w:rPr>
            </w:r>
            <w:r w:rsidR="00864587">
              <w:rPr>
                <w:noProof/>
                <w:webHidden/>
              </w:rPr>
              <w:fldChar w:fldCharType="separate"/>
            </w:r>
            <w:r w:rsidR="00864587">
              <w:rPr>
                <w:noProof/>
                <w:webHidden/>
              </w:rPr>
              <w:t>89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8" w:history="1">
            <w:r w:rsidR="00864587" w:rsidRPr="00977491">
              <w:rPr>
                <w:rStyle w:val="Hyperlink"/>
                <w:noProof/>
              </w:rPr>
              <w:t>Session 15B (Monash University, Australia &amp; Malaysia)</w:t>
            </w:r>
            <w:r w:rsidR="00864587">
              <w:rPr>
                <w:noProof/>
                <w:webHidden/>
              </w:rPr>
              <w:tab/>
            </w:r>
            <w:r w:rsidR="00864587">
              <w:rPr>
                <w:noProof/>
                <w:webHidden/>
              </w:rPr>
              <w:fldChar w:fldCharType="begin"/>
            </w:r>
            <w:r w:rsidR="00864587">
              <w:rPr>
                <w:noProof/>
                <w:webHidden/>
              </w:rPr>
              <w:instrText xml:space="preserve"> PAGEREF _Toc501711958 \h </w:instrText>
            </w:r>
            <w:r w:rsidR="00864587">
              <w:rPr>
                <w:noProof/>
                <w:webHidden/>
              </w:rPr>
            </w:r>
            <w:r w:rsidR="00864587">
              <w:rPr>
                <w:noProof/>
                <w:webHidden/>
              </w:rPr>
              <w:fldChar w:fldCharType="separate"/>
            </w:r>
            <w:r w:rsidR="00864587">
              <w:rPr>
                <w:noProof/>
                <w:webHidden/>
              </w:rPr>
              <w:t>91</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59" w:history="1">
            <w:r w:rsidR="00864587" w:rsidRPr="00977491">
              <w:rPr>
                <w:rStyle w:val="Hyperlink"/>
                <w:noProof/>
              </w:rPr>
              <w:t>Session 15C (Monash University Australia &amp; University of Brawijaya, Indonesia)</w:t>
            </w:r>
            <w:r w:rsidR="00864587">
              <w:rPr>
                <w:noProof/>
                <w:webHidden/>
              </w:rPr>
              <w:tab/>
            </w:r>
            <w:r w:rsidR="00864587">
              <w:rPr>
                <w:noProof/>
                <w:webHidden/>
              </w:rPr>
              <w:fldChar w:fldCharType="begin"/>
            </w:r>
            <w:r w:rsidR="00864587">
              <w:rPr>
                <w:noProof/>
                <w:webHidden/>
              </w:rPr>
              <w:instrText xml:space="preserve"> PAGEREF _Toc501711959 \h </w:instrText>
            </w:r>
            <w:r w:rsidR="00864587">
              <w:rPr>
                <w:noProof/>
                <w:webHidden/>
              </w:rPr>
            </w:r>
            <w:r w:rsidR="00864587">
              <w:rPr>
                <w:noProof/>
                <w:webHidden/>
              </w:rPr>
              <w:fldChar w:fldCharType="separate"/>
            </w:r>
            <w:r w:rsidR="00864587">
              <w:rPr>
                <w:noProof/>
                <w:webHidden/>
              </w:rPr>
              <w:t>93</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60" w:history="1">
            <w:r w:rsidR="00864587" w:rsidRPr="00977491">
              <w:rPr>
                <w:rStyle w:val="Hyperlink"/>
                <w:noProof/>
              </w:rPr>
              <w:t>SESSION 16</w:t>
            </w:r>
            <w:r w:rsidR="00864587">
              <w:rPr>
                <w:noProof/>
                <w:webHidden/>
              </w:rPr>
              <w:tab/>
            </w:r>
            <w:r w:rsidR="00864587">
              <w:rPr>
                <w:noProof/>
                <w:webHidden/>
              </w:rPr>
              <w:fldChar w:fldCharType="begin"/>
            </w:r>
            <w:r w:rsidR="00864587">
              <w:rPr>
                <w:noProof/>
                <w:webHidden/>
              </w:rPr>
              <w:instrText xml:space="preserve"> PAGEREF _Toc501711960 \h </w:instrText>
            </w:r>
            <w:r w:rsidR="00864587">
              <w:rPr>
                <w:noProof/>
                <w:webHidden/>
              </w:rPr>
            </w:r>
            <w:r w:rsidR="00864587">
              <w:rPr>
                <w:noProof/>
                <w:webHidden/>
              </w:rPr>
              <w:fldChar w:fldCharType="separate"/>
            </w:r>
            <w:r w:rsidR="00864587">
              <w:rPr>
                <w:noProof/>
                <w:webHidden/>
              </w:rPr>
              <w:t>94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1" w:history="1">
            <w:r w:rsidR="00864587" w:rsidRPr="00977491">
              <w:rPr>
                <w:rStyle w:val="Hyperlink"/>
                <w:noProof/>
              </w:rPr>
              <w:t>Session 16A (Monash University, Australia, Warwick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_Toc501711961 \h </w:instrText>
            </w:r>
            <w:r w:rsidR="00864587">
              <w:rPr>
                <w:noProof/>
                <w:webHidden/>
              </w:rPr>
            </w:r>
            <w:r w:rsidR="00864587">
              <w:rPr>
                <w:noProof/>
                <w:webHidden/>
              </w:rPr>
              <w:fldChar w:fldCharType="separate"/>
            </w:r>
            <w:r w:rsidR="00864587">
              <w:rPr>
                <w:noProof/>
                <w:webHidden/>
              </w:rPr>
              <w:t>94</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2" w:history="1">
            <w:r w:rsidR="00864587" w:rsidRPr="00977491">
              <w:rPr>
                <w:rStyle w:val="Hyperlink"/>
                <w:noProof/>
              </w:rPr>
              <w:t>Session 16B (Monash University, Australia &amp; University of Leeds, UK)</w:t>
            </w:r>
            <w:r w:rsidR="00864587">
              <w:rPr>
                <w:noProof/>
                <w:webHidden/>
              </w:rPr>
              <w:tab/>
            </w:r>
            <w:r w:rsidR="00864587">
              <w:rPr>
                <w:noProof/>
                <w:webHidden/>
              </w:rPr>
              <w:fldChar w:fldCharType="begin"/>
            </w:r>
            <w:r w:rsidR="00864587">
              <w:rPr>
                <w:noProof/>
                <w:webHidden/>
              </w:rPr>
              <w:instrText xml:space="preserve"> PAGEREF _Toc501711962 \h </w:instrText>
            </w:r>
            <w:r w:rsidR="00864587">
              <w:rPr>
                <w:noProof/>
                <w:webHidden/>
              </w:rPr>
            </w:r>
            <w:r w:rsidR="00864587">
              <w:rPr>
                <w:noProof/>
                <w:webHidden/>
              </w:rPr>
              <w:fldChar w:fldCharType="separate"/>
            </w:r>
            <w:r w:rsidR="00864587">
              <w:rPr>
                <w:noProof/>
                <w:webHidden/>
              </w:rPr>
              <w:t>96</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3" w:history="1">
            <w:r w:rsidR="00864587" w:rsidRPr="00977491">
              <w:rPr>
                <w:rStyle w:val="Hyperlink"/>
                <w:noProof/>
              </w:rPr>
              <w:t>Session 16C (Monash University, Australia &amp; Malaysia)</w:t>
            </w:r>
            <w:r w:rsidR="00864587">
              <w:rPr>
                <w:noProof/>
                <w:webHidden/>
              </w:rPr>
              <w:tab/>
            </w:r>
            <w:r w:rsidR="00864587">
              <w:rPr>
                <w:noProof/>
                <w:webHidden/>
              </w:rPr>
              <w:fldChar w:fldCharType="begin"/>
            </w:r>
            <w:r w:rsidR="00864587">
              <w:rPr>
                <w:noProof/>
                <w:webHidden/>
              </w:rPr>
              <w:instrText xml:space="preserve"> PAGEREF _Toc501711963 \h </w:instrText>
            </w:r>
            <w:r w:rsidR="00864587">
              <w:rPr>
                <w:noProof/>
                <w:webHidden/>
              </w:rPr>
            </w:r>
            <w:r w:rsidR="00864587">
              <w:rPr>
                <w:noProof/>
                <w:webHidden/>
              </w:rPr>
              <w:fldChar w:fldCharType="separate"/>
            </w:r>
            <w:r w:rsidR="00864587">
              <w:rPr>
                <w:noProof/>
                <w:webHidden/>
              </w:rPr>
              <w:t>98</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4" w:history="1">
            <w:r w:rsidR="00864587" w:rsidRPr="00977491">
              <w:rPr>
                <w:rStyle w:val="Hyperlink"/>
                <w:noProof/>
              </w:rPr>
              <w:t>Session 16D (Warwick University, UK &amp; Kyushu University, Japan)</w:t>
            </w:r>
            <w:r w:rsidR="00864587">
              <w:rPr>
                <w:noProof/>
                <w:webHidden/>
              </w:rPr>
              <w:tab/>
            </w:r>
            <w:r w:rsidR="00864587">
              <w:rPr>
                <w:noProof/>
                <w:webHidden/>
              </w:rPr>
              <w:fldChar w:fldCharType="begin"/>
            </w:r>
            <w:r w:rsidR="00864587">
              <w:rPr>
                <w:noProof/>
                <w:webHidden/>
              </w:rPr>
              <w:instrText xml:space="preserve"> PAGEREF _Toc501711964 \h </w:instrText>
            </w:r>
            <w:r w:rsidR="00864587">
              <w:rPr>
                <w:noProof/>
                <w:webHidden/>
              </w:rPr>
            </w:r>
            <w:r w:rsidR="00864587">
              <w:rPr>
                <w:noProof/>
                <w:webHidden/>
              </w:rPr>
              <w:fldChar w:fldCharType="separate"/>
            </w:r>
            <w:r w:rsidR="00864587">
              <w:rPr>
                <w:noProof/>
                <w:webHidden/>
              </w:rPr>
              <w:t>100</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5" w:history="1">
            <w:r w:rsidR="00864587" w:rsidRPr="00977491">
              <w:rPr>
                <w:rStyle w:val="Hyperlink"/>
                <w:noProof/>
              </w:rPr>
              <w:t>Session 16E (Warwick University &amp; &amp; University of Brawijaya, Indonesia)</w:t>
            </w:r>
            <w:r w:rsidR="00864587">
              <w:rPr>
                <w:noProof/>
                <w:webHidden/>
              </w:rPr>
              <w:tab/>
            </w:r>
            <w:r w:rsidR="00864587">
              <w:rPr>
                <w:noProof/>
                <w:webHidden/>
              </w:rPr>
              <w:fldChar w:fldCharType="begin"/>
            </w:r>
            <w:r w:rsidR="00864587">
              <w:rPr>
                <w:noProof/>
                <w:webHidden/>
              </w:rPr>
              <w:instrText xml:space="preserve"> PAGEREF _Toc501711965 \h </w:instrText>
            </w:r>
            <w:r w:rsidR="00864587">
              <w:rPr>
                <w:noProof/>
                <w:webHidden/>
              </w:rPr>
            </w:r>
            <w:r w:rsidR="00864587">
              <w:rPr>
                <w:noProof/>
                <w:webHidden/>
              </w:rPr>
              <w:fldChar w:fldCharType="separate"/>
            </w:r>
            <w:r w:rsidR="00864587">
              <w:rPr>
                <w:noProof/>
                <w:webHidden/>
              </w:rPr>
              <w:t>102</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66" w:history="1">
            <w:r w:rsidR="00864587" w:rsidRPr="00977491">
              <w:rPr>
                <w:rStyle w:val="Hyperlink"/>
                <w:noProof/>
              </w:rPr>
              <w:t>SESSION 17</w:t>
            </w:r>
            <w:r w:rsidR="00864587">
              <w:rPr>
                <w:noProof/>
                <w:webHidden/>
              </w:rPr>
              <w:tab/>
            </w:r>
            <w:r w:rsidR="00864587">
              <w:rPr>
                <w:noProof/>
                <w:webHidden/>
              </w:rPr>
              <w:fldChar w:fldCharType="begin"/>
            </w:r>
            <w:r w:rsidR="00864587">
              <w:rPr>
                <w:noProof/>
                <w:webHidden/>
              </w:rPr>
              <w:instrText xml:space="preserve"> PAGEREF _Toc501711966 \h </w:instrText>
            </w:r>
            <w:r w:rsidR="00864587">
              <w:rPr>
                <w:noProof/>
                <w:webHidden/>
              </w:rPr>
            </w:r>
            <w:r w:rsidR="00864587">
              <w:rPr>
                <w:noProof/>
                <w:webHidden/>
              </w:rPr>
              <w:fldChar w:fldCharType="separate"/>
            </w:r>
            <w:r w:rsidR="00864587">
              <w:rPr>
                <w:noProof/>
                <w:webHidden/>
              </w:rPr>
              <w:t>103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7" w:history="1">
            <w:r w:rsidR="00864587" w:rsidRPr="00977491">
              <w:rPr>
                <w:rStyle w:val="Hyperlink"/>
                <w:noProof/>
              </w:rPr>
              <w:t>Session 17A (Warwick University, UK, University of Leeds,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_Toc501711967 \h </w:instrText>
            </w:r>
            <w:r w:rsidR="00864587">
              <w:rPr>
                <w:noProof/>
                <w:webHidden/>
              </w:rPr>
            </w:r>
            <w:r w:rsidR="00864587">
              <w:rPr>
                <w:noProof/>
                <w:webHidden/>
              </w:rPr>
              <w:fldChar w:fldCharType="separate"/>
            </w:r>
            <w:r w:rsidR="00864587">
              <w:rPr>
                <w:noProof/>
                <w:webHidden/>
              </w:rPr>
              <w:t>103</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8" w:history="1">
            <w:r w:rsidR="00864587" w:rsidRPr="00977491">
              <w:rPr>
                <w:rStyle w:val="Hyperlink"/>
                <w:noProof/>
              </w:rPr>
              <w:t>Session 17B (Warwick University, UK &amp; University of Brawijaya, Indonesia)</w:t>
            </w:r>
            <w:r w:rsidR="00864587">
              <w:rPr>
                <w:noProof/>
                <w:webHidden/>
              </w:rPr>
              <w:tab/>
            </w:r>
            <w:r w:rsidR="00864587">
              <w:rPr>
                <w:noProof/>
                <w:webHidden/>
              </w:rPr>
              <w:fldChar w:fldCharType="begin"/>
            </w:r>
            <w:r w:rsidR="00864587">
              <w:rPr>
                <w:noProof/>
                <w:webHidden/>
              </w:rPr>
              <w:instrText xml:space="preserve"> PAGEREF _Toc501711968 \h </w:instrText>
            </w:r>
            <w:r w:rsidR="00864587">
              <w:rPr>
                <w:noProof/>
                <w:webHidden/>
              </w:rPr>
            </w:r>
            <w:r w:rsidR="00864587">
              <w:rPr>
                <w:noProof/>
                <w:webHidden/>
              </w:rPr>
              <w:fldChar w:fldCharType="separate"/>
            </w:r>
            <w:r w:rsidR="00864587">
              <w:rPr>
                <w:noProof/>
                <w:webHidden/>
              </w:rPr>
              <w:t>105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69" w:history="1">
            <w:r w:rsidR="00864587" w:rsidRPr="00977491">
              <w:rPr>
                <w:rStyle w:val="Hyperlink"/>
                <w:noProof/>
              </w:rPr>
              <w:t>Session 17C (Warwick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_Toc501711969 \h </w:instrText>
            </w:r>
            <w:r w:rsidR="00864587">
              <w:rPr>
                <w:noProof/>
                <w:webHidden/>
              </w:rPr>
            </w:r>
            <w:r w:rsidR="00864587">
              <w:rPr>
                <w:noProof/>
                <w:webHidden/>
              </w:rPr>
              <w:fldChar w:fldCharType="separate"/>
            </w:r>
            <w:r w:rsidR="00864587">
              <w:rPr>
                <w:noProof/>
                <w:webHidden/>
              </w:rPr>
              <w:t>107</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0" w:history="1">
            <w:r w:rsidR="00864587" w:rsidRPr="00977491">
              <w:rPr>
                <w:rStyle w:val="Hyperlink"/>
                <w:noProof/>
              </w:rPr>
              <w:t>Session 17D (Sussex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_Toc501711970 \h </w:instrText>
            </w:r>
            <w:r w:rsidR="00864587">
              <w:rPr>
                <w:noProof/>
                <w:webHidden/>
              </w:rPr>
            </w:r>
            <w:r w:rsidR="00864587">
              <w:rPr>
                <w:noProof/>
                <w:webHidden/>
              </w:rPr>
              <w:fldChar w:fldCharType="separate"/>
            </w:r>
            <w:r w:rsidR="00864587">
              <w:rPr>
                <w:noProof/>
                <w:webHidden/>
              </w:rPr>
              <w:t>109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1" w:history="1">
            <w:r w:rsidR="00864587" w:rsidRPr="00977491">
              <w:rPr>
                <w:rStyle w:val="Hyperlink"/>
                <w:noProof/>
              </w:rPr>
              <w:t>Session 17.1 (Sussex University, UK &amp; Nanyang Technological University, Singapore)</w:t>
            </w:r>
            <w:r w:rsidR="00864587">
              <w:rPr>
                <w:noProof/>
                <w:webHidden/>
              </w:rPr>
              <w:tab/>
            </w:r>
            <w:r w:rsidR="00864587">
              <w:rPr>
                <w:noProof/>
                <w:webHidden/>
              </w:rPr>
              <w:fldChar w:fldCharType="begin"/>
            </w:r>
            <w:r w:rsidR="00864587">
              <w:rPr>
                <w:noProof/>
                <w:webHidden/>
              </w:rPr>
              <w:instrText xml:space="preserve"> PAGEREF _Toc501711971 \h </w:instrText>
            </w:r>
            <w:r w:rsidR="00864587">
              <w:rPr>
                <w:noProof/>
                <w:webHidden/>
              </w:rPr>
            </w:r>
            <w:r w:rsidR="00864587">
              <w:rPr>
                <w:noProof/>
                <w:webHidden/>
              </w:rPr>
              <w:fldChar w:fldCharType="separate"/>
            </w:r>
            <w:r w:rsidR="00864587">
              <w:rPr>
                <w:noProof/>
                <w:webHidden/>
              </w:rPr>
              <w:t>109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2" w:history="1">
            <w:r w:rsidR="00864587" w:rsidRPr="00977491">
              <w:rPr>
                <w:rStyle w:val="Hyperlink"/>
                <w:noProof/>
              </w:rPr>
              <w:t>Session 17E (Warwick University, UK)</w:t>
            </w:r>
            <w:r w:rsidR="00864587">
              <w:rPr>
                <w:noProof/>
                <w:webHidden/>
              </w:rPr>
              <w:tab/>
            </w:r>
            <w:r w:rsidR="00864587">
              <w:rPr>
                <w:noProof/>
                <w:webHidden/>
              </w:rPr>
              <w:fldChar w:fldCharType="begin"/>
            </w:r>
            <w:r w:rsidR="00864587">
              <w:rPr>
                <w:noProof/>
                <w:webHidden/>
              </w:rPr>
              <w:instrText xml:space="preserve"> PAGEREF _Toc501711972 \h </w:instrText>
            </w:r>
            <w:r w:rsidR="00864587">
              <w:rPr>
                <w:noProof/>
                <w:webHidden/>
              </w:rPr>
            </w:r>
            <w:r w:rsidR="00864587">
              <w:rPr>
                <w:noProof/>
                <w:webHidden/>
              </w:rPr>
              <w:fldChar w:fldCharType="separate"/>
            </w:r>
            <w:r w:rsidR="00864587">
              <w:rPr>
                <w:noProof/>
                <w:webHidden/>
              </w:rPr>
              <w:t>110</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73" w:history="1">
            <w:r w:rsidR="00864587" w:rsidRPr="00977491">
              <w:rPr>
                <w:rStyle w:val="Hyperlink"/>
                <w:noProof/>
              </w:rPr>
              <w:t>SESSION 18</w:t>
            </w:r>
            <w:r w:rsidR="00864587">
              <w:rPr>
                <w:noProof/>
                <w:webHidden/>
              </w:rPr>
              <w:tab/>
            </w:r>
            <w:r w:rsidR="00864587">
              <w:rPr>
                <w:noProof/>
                <w:webHidden/>
              </w:rPr>
              <w:fldChar w:fldCharType="begin"/>
            </w:r>
            <w:r w:rsidR="00864587">
              <w:rPr>
                <w:noProof/>
                <w:webHidden/>
              </w:rPr>
              <w:instrText xml:space="preserve"> PAGEREF _Toc501711973 \h </w:instrText>
            </w:r>
            <w:r w:rsidR="00864587">
              <w:rPr>
                <w:noProof/>
                <w:webHidden/>
              </w:rPr>
            </w:r>
            <w:r w:rsidR="00864587">
              <w:rPr>
                <w:noProof/>
                <w:webHidden/>
              </w:rPr>
              <w:fldChar w:fldCharType="separate"/>
            </w:r>
            <w:r w:rsidR="00864587">
              <w:rPr>
                <w:noProof/>
                <w:webHidden/>
              </w:rPr>
              <w:t>111</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4" w:history="1">
            <w:r w:rsidR="00864587" w:rsidRPr="00977491">
              <w:rPr>
                <w:rStyle w:val="Hyperlink"/>
                <w:noProof/>
              </w:rPr>
              <w:t>Session 18A (Warwick University, UK, Monash University, South Africa &amp; Sussex University, UK)</w:t>
            </w:r>
            <w:r w:rsidR="00864587">
              <w:rPr>
                <w:noProof/>
                <w:webHidden/>
              </w:rPr>
              <w:tab/>
            </w:r>
            <w:r w:rsidR="00864587">
              <w:rPr>
                <w:noProof/>
                <w:webHidden/>
              </w:rPr>
              <w:fldChar w:fldCharType="begin"/>
            </w:r>
            <w:r w:rsidR="00864587">
              <w:rPr>
                <w:noProof/>
                <w:webHidden/>
              </w:rPr>
              <w:instrText xml:space="preserve"> PAGEREF _Toc501711974 \h </w:instrText>
            </w:r>
            <w:r w:rsidR="00864587">
              <w:rPr>
                <w:noProof/>
                <w:webHidden/>
              </w:rPr>
            </w:r>
            <w:r w:rsidR="00864587">
              <w:rPr>
                <w:noProof/>
                <w:webHidden/>
              </w:rPr>
              <w:fldChar w:fldCharType="separate"/>
            </w:r>
            <w:r w:rsidR="00864587">
              <w:rPr>
                <w:noProof/>
                <w:webHidden/>
              </w:rPr>
              <w:t>111</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5" w:history="1">
            <w:r w:rsidR="00864587" w:rsidRPr="00977491">
              <w:rPr>
                <w:rStyle w:val="Hyperlink"/>
                <w:noProof/>
              </w:rPr>
              <w:t>Session 18B (University of Leeds, UK, Baruch College, City University of New York, USA with an audience from Warwick University, UK)</w:t>
            </w:r>
            <w:r w:rsidR="00864587">
              <w:rPr>
                <w:noProof/>
                <w:webHidden/>
              </w:rPr>
              <w:tab/>
            </w:r>
            <w:r w:rsidR="00864587">
              <w:rPr>
                <w:noProof/>
                <w:webHidden/>
              </w:rPr>
              <w:fldChar w:fldCharType="begin"/>
            </w:r>
            <w:r w:rsidR="00864587">
              <w:rPr>
                <w:noProof/>
                <w:webHidden/>
              </w:rPr>
              <w:instrText xml:space="preserve"> PAGEREF _Toc501711975 \h </w:instrText>
            </w:r>
            <w:r w:rsidR="00864587">
              <w:rPr>
                <w:noProof/>
                <w:webHidden/>
              </w:rPr>
            </w:r>
            <w:r w:rsidR="00864587">
              <w:rPr>
                <w:noProof/>
                <w:webHidden/>
              </w:rPr>
              <w:fldChar w:fldCharType="separate"/>
            </w:r>
            <w:r w:rsidR="00864587">
              <w:rPr>
                <w:noProof/>
                <w:webHidden/>
              </w:rPr>
              <w:t>113</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76" w:history="1">
            <w:r w:rsidR="00864587" w:rsidRPr="00977491">
              <w:rPr>
                <w:rStyle w:val="Hyperlink"/>
                <w:noProof/>
              </w:rPr>
              <w:t>SESSION 19</w:t>
            </w:r>
            <w:r w:rsidR="00864587">
              <w:rPr>
                <w:noProof/>
                <w:webHidden/>
              </w:rPr>
              <w:tab/>
            </w:r>
            <w:r w:rsidR="00864587">
              <w:rPr>
                <w:noProof/>
                <w:webHidden/>
              </w:rPr>
              <w:fldChar w:fldCharType="begin"/>
            </w:r>
            <w:r w:rsidR="00864587">
              <w:rPr>
                <w:noProof/>
                <w:webHidden/>
              </w:rPr>
              <w:instrText xml:space="preserve"> PAGEREF _Toc501711976 \h </w:instrText>
            </w:r>
            <w:r w:rsidR="00864587">
              <w:rPr>
                <w:noProof/>
                <w:webHidden/>
              </w:rPr>
            </w:r>
            <w:r w:rsidR="00864587">
              <w:rPr>
                <w:noProof/>
                <w:webHidden/>
              </w:rPr>
              <w:fldChar w:fldCharType="separate"/>
            </w:r>
            <w:r w:rsidR="00864587">
              <w:rPr>
                <w:noProof/>
                <w:webHidden/>
              </w:rPr>
              <w:t>115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7" w:history="1">
            <w:r w:rsidR="00864587" w:rsidRPr="00977491">
              <w:rPr>
                <w:rStyle w:val="Hyperlink"/>
                <w:noProof/>
              </w:rPr>
              <w:t>Session 19A (Warwick University, UK, Sussex University, UK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_Toc501711977 \h </w:instrText>
            </w:r>
            <w:r w:rsidR="00864587">
              <w:rPr>
                <w:noProof/>
                <w:webHidden/>
              </w:rPr>
            </w:r>
            <w:r w:rsidR="00864587">
              <w:rPr>
                <w:noProof/>
                <w:webHidden/>
              </w:rPr>
              <w:fldChar w:fldCharType="separate"/>
            </w:r>
            <w:r w:rsidR="00864587">
              <w:rPr>
                <w:noProof/>
                <w:webHidden/>
              </w:rPr>
              <w:t>115</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78" w:history="1">
            <w:r w:rsidR="00864587" w:rsidRPr="00977491">
              <w:rPr>
                <w:rStyle w:val="Hyperlink"/>
                <w:noProof/>
              </w:rPr>
              <w:t>Session 19B (Warwick University, UK, University of Leeds, UK, Monash University, South Africa)</w:t>
            </w:r>
            <w:r w:rsidR="00864587">
              <w:rPr>
                <w:noProof/>
                <w:webHidden/>
              </w:rPr>
              <w:tab/>
            </w:r>
            <w:r w:rsidR="00864587">
              <w:rPr>
                <w:noProof/>
                <w:webHidden/>
              </w:rPr>
              <w:fldChar w:fldCharType="begin"/>
            </w:r>
            <w:r w:rsidR="00864587">
              <w:rPr>
                <w:noProof/>
                <w:webHidden/>
              </w:rPr>
              <w:instrText xml:space="preserve"> PAGEREF _Toc501711978 \h </w:instrText>
            </w:r>
            <w:r w:rsidR="00864587">
              <w:rPr>
                <w:noProof/>
                <w:webHidden/>
              </w:rPr>
            </w:r>
            <w:r w:rsidR="00864587">
              <w:rPr>
                <w:noProof/>
                <w:webHidden/>
              </w:rPr>
              <w:fldChar w:fldCharType="separate"/>
            </w:r>
            <w:r w:rsidR="00864587">
              <w:rPr>
                <w:noProof/>
                <w:webHidden/>
              </w:rPr>
              <w:t>117</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79" w:history="1">
            <w:r w:rsidR="00864587" w:rsidRPr="00977491">
              <w:rPr>
                <w:rStyle w:val="Hyperlink"/>
                <w:noProof/>
              </w:rPr>
              <w:t>SESSION 20</w:t>
            </w:r>
            <w:r w:rsidR="00864587">
              <w:rPr>
                <w:noProof/>
                <w:webHidden/>
              </w:rPr>
              <w:tab/>
            </w:r>
            <w:r w:rsidR="00864587">
              <w:rPr>
                <w:noProof/>
                <w:webHidden/>
              </w:rPr>
              <w:fldChar w:fldCharType="begin"/>
            </w:r>
            <w:r w:rsidR="00864587">
              <w:rPr>
                <w:noProof/>
                <w:webHidden/>
              </w:rPr>
              <w:instrText xml:space="preserve"> PAGEREF _Toc501711979 \h </w:instrText>
            </w:r>
            <w:r w:rsidR="00864587">
              <w:rPr>
                <w:noProof/>
                <w:webHidden/>
              </w:rPr>
            </w:r>
            <w:r w:rsidR="00864587">
              <w:rPr>
                <w:noProof/>
                <w:webHidden/>
              </w:rPr>
              <w:fldChar w:fldCharType="separate"/>
            </w:r>
            <w:r w:rsidR="00864587">
              <w:rPr>
                <w:noProof/>
                <w:webHidden/>
              </w:rPr>
              <w:t>119</w:t>
            </w:r>
            <w:r w:rsidR="00864587">
              <w:rPr>
                <w:noProof/>
                <w:webHidden/>
              </w:rPr>
              <w:fldChar w:fldCharType="end"/>
            </w:r>
          </w:hyperlink>
        </w:p>
        <w:p w:rsidR="00864587" w:rsidRDefault="00BA0844">
          <w:pPr>
            <w:pStyle w:val="TOC2"/>
            <w:tabs>
              <w:tab w:val="right" w:leader="dot" w:pos="9016"/>
            </w:tabs>
            <w:rPr>
              <w:rFonts w:eastAsiaTheme="minorEastAsia"/>
              <w:noProof/>
              <w:lang w:eastAsia="en-GB"/>
            </w:rPr>
          </w:pPr>
          <w:hyperlink w:anchor="_Toc501711980" w:history="1">
            <w:r w:rsidR="00864587" w:rsidRPr="00977491">
              <w:rPr>
                <w:rStyle w:val="Hyperlink"/>
                <w:noProof/>
              </w:rPr>
              <w:t>Session 20A (Warwick University &amp; Baruch College, City University of New York, USA)</w:t>
            </w:r>
            <w:r w:rsidR="00864587">
              <w:rPr>
                <w:noProof/>
                <w:webHidden/>
              </w:rPr>
              <w:tab/>
            </w:r>
            <w:r w:rsidR="00864587">
              <w:rPr>
                <w:noProof/>
                <w:webHidden/>
              </w:rPr>
              <w:fldChar w:fldCharType="begin"/>
            </w:r>
            <w:r w:rsidR="00864587">
              <w:rPr>
                <w:noProof/>
                <w:webHidden/>
              </w:rPr>
              <w:instrText xml:space="preserve"> PAGEREF _Toc501711980 \h </w:instrText>
            </w:r>
            <w:r w:rsidR="00864587">
              <w:rPr>
                <w:noProof/>
                <w:webHidden/>
              </w:rPr>
            </w:r>
            <w:r w:rsidR="00864587">
              <w:rPr>
                <w:noProof/>
                <w:webHidden/>
              </w:rPr>
              <w:fldChar w:fldCharType="separate"/>
            </w:r>
            <w:r w:rsidR="00864587">
              <w:rPr>
                <w:noProof/>
                <w:webHidden/>
              </w:rPr>
              <w:t>119</w:t>
            </w:r>
            <w:r w:rsidR="00864587">
              <w:rPr>
                <w:noProof/>
                <w:webHidden/>
              </w:rPr>
              <w:fldChar w:fldCharType="end"/>
            </w:r>
          </w:hyperlink>
        </w:p>
        <w:p w:rsidR="00864587" w:rsidRDefault="00BA0844">
          <w:pPr>
            <w:pStyle w:val="TOC1"/>
            <w:tabs>
              <w:tab w:val="right" w:leader="dot" w:pos="9016"/>
            </w:tabs>
            <w:rPr>
              <w:rFonts w:eastAsiaTheme="minorEastAsia"/>
              <w:noProof/>
              <w:lang w:eastAsia="en-GB"/>
            </w:rPr>
          </w:pPr>
          <w:hyperlink w:anchor="_Toc501711981" w:history="1">
            <w:r w:rsidR="00864587" w:rsidRPr="00977491">
              <w:rPr>
                <w:rStyle w:val="Hyperlink"/>
                <w:noProof/>
              </w:rPr>
              <w:t>POSTER PRESENTATIONS (All Institutions)</w:t>
            </w:r>
            <w:r w:rsidR="00864587">
              <w:rPr>
                <w:noProof/>
                <w:webHidden/>
              </w:rPr>
              <w:tab/>
            </w:r>
            <w:r w:rsidR="00864587">
              <w:rPr>
                <w:noProof/>
                <w:webHidden/>
              </w:rPr>
              <w:fldChar w:fldCharType="begin"/>
            </w:r>
            <w:r w:rsidR="00864587">
              <w:rPr>
                <w:noProof/>
                <w:webHidden/>
              </w:rPr>
              <w:instrText xml:space="preserve"> PAGEREF _Toc501711981 \h </w:instrText>
            </w:r>
            <w:r w:rsidR="00864587">
              <w:rPr>
                <w:noProof/>
                <w:webHidden/>
              </w:rPr>
            </w:r>
            <w:r w:rsidR="00864587">
              <w:rPr>
                <w:noProof/>
                <w:webHidden/>
              </w:rPr>
              <w:fldChar w:fldCharType="separate"/>
            </w:r>
            <w:r w:rsidR="00864587">
              <w:rPr>
                <w:noProof/>
                <w:webHidden/>
              </w:rPr>
              <w:t>121</w:t>
            </w:r>
            <w:r w:rsidR="00864587">
              <w:rPr>
                <w:noProof/>
                <w:webHidden/>
              </w:rPr>
              <w:fldChar w:fldCharType="end"/>
            </w:r>
          </w:hyperlink>
        </w:p>
        <w:p w:rsidR="00DD7B70" w:rsidRDefault="00DD7B70">
          <w:r>
            <w:rPr>
              <w:b/>
              <w:bCs/>
              <w:noProof/>
            </w:rPr>
            <w:fldChar w:fldCharType="end"/>
          </w:r>
        </w:p>
      </w:sdtContent>
    </w:sdt>
    <w:p w:rsidR="00DD7B70" w:rsidRDefault="00DD7B70" w:rsidP="00DD7B70">
      <w:pPr>
        <w:pStyle w:val="TOCHeading"/>
      </w:pPr>
    </w:p>
    <w:p w:rsidR="00DD7B70" w:rsidRDefault="00DD7B70">
      <w:pPr>
        <w:rPr>
          <w:rFonts w:ascii="Gadugi" w:hAnsi="Gadugi"/>
          <w:b/>
        </w:rPr>
      </w:pPr>
    </w:p>
    <w:p w:rsidR="00DD7B70" w:rsidRDefault="00397174" w:rsidP="00DD7B70">
      <w:pPr>
        <w:pStyle w:val="Heading1"/>
        <w:jc w:val="center"/>
      </w:pPr>
      <w:bookmarkStart w:id="4" w:name="_Toc501711891"/>
      <w:r>
        <w:lastRenderedPageBreak/>
        <w:t>S</w:t>
      </w:r>
      <w:r w:rsidR="00DD7B70">
        <w:t>ESSION 1</w:t>
      </w:r>
      <w:bookmarkEnd w:id="4"/>
    </w:p>
    <w:p w:rsidR="00DD7B70" w:rsidRDefault="00DD7B70">
      <w:pPr>
        <w:rPr>
          <w:rFonts w:ascii="Gadugi" w:hAnsi="Gadugi"/>
          <w:b/>
        </w:rPr>
      </w:pPr>
    </w:p>
    <w:p w:rsidR="00E51985" w:rsidRPr="008F0D2E" w:rsidRDefault="00E549C4" w:rsidP="00DD7B70">
      <w:pPr>
        <w:pStyle w:val="Heading2"/>
      </w:pPr>
      <w:bookmarkStart w:id="5" w:name="_Toc501711892"/>
      <w:r w:rsidRPr="008F0D2E">
        <w:t xml:space="preserve">Session 1A (Monash </w:t>
      </w:r>
      <w:r w:rsidR="003E7E15">
        <w:t xml:space="preserve">University, </w:t>
      </w:r>
      <w:r w:rsidRPr="008F0D2E">
        <w:t>Australia &amp; Kyushu</w:t>
      </w:r>
      <w:r w:rsidR="003E7E15">
        <w:t xml:space="preserve"> University, Japan</w:t>
      </w:r>
      <w:r w:rsidRPr="008F0D2E">
        <w:t>)</w:t>
      </w:r>
      <w:bookmarkEnd w:id="5"/>
      <w:r w:rsidRPr="008F0D2E">
        <w:t xml:space="preserve"> </w:t>
      </w:r>
    </w:p>
    <w:p w:rsidR="00E549C4" w:rsidRDefault="003E7E15">
      <w:pPr>
        <w:rPr>
          <w:rStyle w:val="SubtleEmphasis"/>
        </w:rPr>
      </w:pPr>
      <w:r w:rsidRPr="00DD7B70">
        <w:rPr>
          <w:rStyle w:val="SubtleEmphasis"/>
        </w:rPr>
        <w:t xml:space="preserve">Theme: </w:t>
      </w:r>
      <w:r w:rsidR="0054396C">
        <w:rPr>
          <w:rStyle w:val="SubtleEmphasis"/>
        </w:rPr>
        <w:t>Material Cultures</w:t>
      </w:r>
    </w:p>
    <w:p w:rsidR="00DD7B70" w:rsidRPr="00DD7B70" w:rsidRDefault="00DD7B70">
      <w:pPr>
        <w:rPr>
          <w:rStyle w:val="SubtleEmphasis"/>
        </w:rPr>
      </w:pPr>
    </w:p>
    <w:p w:rsidR="0054396C" w:rsidRPr="00992B72" w:rsidRDefault="0054396C" w:rsidP="0054396C">
      <w:r w:rsidRPr="0054396C">
        <w:rPr>
          <w:b/>
        </w:rPr>
        <w:t>Claire Duncan</w:t>
      </w:r>
      <w:r w:rsidR="00F730D5" w:rsidRPr="003E7E15">
        <w:t xml:space="preserve"> (Monash</w:t>
      </w:r>
      <w:r w:rsidR="003E7E15">
        <w:t xml:space="preserve"> University, Australia</w:t>
      </w:r>
      <w:r w:rsidR="00F730D5" w:rsidRPr="003E7E15">
        <w:t xml:space="preserve">) </w:t>
      </w:r>
      <w:r>
        <w:br/>
      </w:r>
      <w:r w:rsidRPr="00992B72">
        <w:rPr>
          <w:i/>
          <w:noProof/>
        </w:rPr>
        <w:t>Cauldrons, Familiars and Maleficia: The materiality of Hans Baldung Grien’s sixteenth-century witches</w:t>
      </w:r>
    </w:p>
    <w:p w:rsidR="0054396C" w:rsidRPr="0054396C" w:rsidRDefault="0054396C" w:rsidP="0054396C">
      <w:pPr>
        <w:rPr>
          <w:sz w:val="20"/>
          <w:szCs w:val="20"/>
        </w:rPr>
      </w:pPr>
      <w:r w:rsidRPr="0054396C">
        <w:rPr>
          <w:noProof/>
          <w:sz w:val="20"/>
          <w:szCs w:val="20"/>
        </w:rPr>
        <w:t xml:space="preserve">Witches. When we hear this word, a multitude of pop-culture images come to mind: </w:t>
      </w:r>
      <w:r w:rsidRPr="0054396C">
        <w:rPr>
          <w:i/>
          <w:noProof/>
          <w:sz w:val="20"/>
          <w:szCs w:val="20"/>
        </w:rPr>
        <w:t>Bewitched</w:t>
      </w:r>
      <w:r w:rsidRPr="0054396C">
        <w:rPr>
          <w:noProof/>
          <w:sz w:val="20"/>
          <w:szCs w:val="20"/>
        </w:rPr>
        <w:t xml:space="preserve">, </w:t>
      </w:r>
      <w:r w:rsidRPr="0054396C">
        <w:rPr>
          <w:i/>
          <w:noProof/>
          <w:sz w:val="20"/>
          <w:szCs w:val="20"/>
        </w:rPr>
        <w:t>Harry Potter</w:t>
      </w:r>
      <w:r w:rsidRPr="0054396C">
        <w:rPr>
          <w:noProof/>
          <w:sz w:val="20"/>
          <w:szCs w:val="20"/>
        </w:rPr>
        <w:t xml:space="preserve">, </w:t>
      </w:r>
      <w:r w:rsidRPr="0054396C">
        <w:rPr>
          <w:i/>
          <w:noProof/>
          <w:sz w:val="20"/>
          <w:szCs w:val="20"/>
        </w:rPr>
        <w:t>Wicked</w:t>
      </w:r>
      <w:r w:rsidRPr="0054396C">
        <w:rPr>
          <w:noProof/>
          <w:sz w:val="20"/>
          <w:szCs w:val="20"/>
        </w:rPr>
        <w:t xml:space="preserve">, </w:t>
      </w:r>
      <w:r w:rsidRPr="0054396C">
        <w:rPr>
          <w:i/>
          <w:noProof/>
          <w:sz w:val="20"/>
          <w:szCs w:val="20"/>
        </w:rPr>
        <w:t>Charmed</w:t>
      </w:r>
      <w:r w:rsidRPr="0054396C">
        <w:rPr>
          <w:noProof/>
          <w:sz w:val="20"/>
          <w:szCs w:val="20"/>
        </w:rPr>
        <w:t xml:space="preserve">... What do we associate with these contemporary images of the witch? Cauldrons, spells, black cats and broomsticks. These objects have long since been linked with witchcraft. The sixteenth-century artist, Hans Baldung Grien (1484/5–1545) is arguably one of the most prolific artists involved in creating a visual language of witchcraft that included some of these objects. While his art has been widely studied, particularly from an art history perspective, my thesis uses a largely cultural historical approach, drawing inspiration from methodologies of materiality and spatial analysis. One particularly rich image of Grien’s is his chiaroscuro woodcut </w:t>
      </w:r>
      <w:r w:rsidRPr="0054396C">
        <w:rPr>
          <w:i/>
          <w:noProof/>
          <w:sz w:val="20"/>
          <w:szCs w:val="20"/>
        </w:rPr>
        <w:t>A Group of Female Witches</w:t>
      </w:r>
      <w:r w:rsidRPr="0054396C">
        <w:rPr>
          <w:noProof/>
          <w:sz w:val="20"/>
          <w:szCs w:val="20"/>
        </w:rPr>
        <w:t xml:space="preserve"> from 1510. Although the witch figures seem to be central in this image, I have directed my gaze away from them to focus on the material culture that surrounds them: their spatial environment ( the dark woods), the supporting subjects (familiars and devils) and the material objects (cauldron, ‘pitchforks’ and bones). What can these objects tell us about sixteenth-century witches? I am working with contemporary literature including treatises, papal bulls, sermons and other publications concerning witchcraft such as the infamous </w:t>
      </w:r>
      <w:r w:rsidRPr="0054396C">
        <w:rPr>
          <w:i/>
          <w:noProof/>
          <w:sz w:val="20"/>
          <w:szCs w:val="20"/>
        </w:rPr>
        <w:t>Malleus Maleficarum</w:t>
      </w:r>
      <w:r w:rsidRPr="0054396C">
        <w:rPr>
          <w:noProof/>
          <w:sz w:val="20"/>
          <w:szCs w:val="20"/>
        </w:rPr>
        <w:t xml:space="preserve"> (</w:t>
      </w:r>
      <w:r w:rsidRPr="0054396C">
        <w:rPr>
          <w:i/>
          <w:noProof/>
          <w:sz w:val="20"/>
          <w:szCs w:val="20"/>
        </w:rPr>
        <w:t>The Hammer of the Witches</w:t>
      </w:r>
      <w:r w:rsidRPr="0054396C">
        <w:rPr>
          <w:noProof/>
          <w:sz w:val="20"/>
          <w:szCs w:val="20"/>
        </w:rPr>
        <w:t>, 1487). Scholarship has mainly focused on the reason and motivation behind Grien creating his witchcraft images and for whom they were intended. I intend to identify the cultural and historical meanings of his woodcut; that is, what the material culture says about sixteenth-century German witchcraft.</w:t>
      </w:r>
    </w:p>
    <w:p w:rsidR="003E7E15" w:rsidRPr="003E7E15" w:rsidRDefault="003E7E15" w:rsidP="00DD7B70"/>
    <w:p w:rsidR="0054396C" w:rsidRPr="00992B72" w:rsidRDefault="00F730D5" w:rsidP="0054396C">
      <w:r w:rsidRPr="00DD7B70">
        <w:rPr>
          <w:b/>
        </w:rPr>
        <w:t xml:space="preserve">Lexie Branda-Pawlaczyk </w:t>
      </w:r>
      <w:r w:rsidRPr="0054396C">
        <w:t>(Monash</w:t>
      </w:r>
      <w:r w:rsidR="003E7E15" w:rsidRPr="0054396C">
        <w:t xml:space="preserve"> University, Australia</w:t>
      </w:r>
      <w:r w:rsidRPr="0054396C">
        <w:t>)</w:t>
      </w:r>
      <w:r w:rsidRPr="003E7E15">
        <w:t xml:space="preserve"> </w:t>
      </w:r>
      <w:r w:rsidR="006349C6">
        <w:br/>
      </w:r>
      <w:r w:rsidR="0054396C" w:rsidRPr="00992B72">
        <w:rPr>
          <w:i/>
          <w:noProof/>
        </w:rPr>
        <w:t>Do Pots Equal People? The problem with the Canaanite jar</w:t>
      </w:r>
    </w:p>
    <w:p w:rsidR="0054396C" w:rsidRPr="0054396C" w:rsidRDefault="0054396C" w:rsidP="0054396C">
      <w:pPr>
        <w:rPr>
          <w:sz w:val="20"/>
          <w:szCs w:val="20"/>
        </w:rPr>
      </w:pPr>
      <w:r w:rsidRPr="0054396C">
        <w:rPr>
          <w:noProof/>
          <w:sz w:val="20"/>
          <w:szCs w:val="20"/>
        </w:rPr>
        <w:t>The imported Canaanite Jar found at Tell el-Dab’a/Avaris, Egypt, has been considered an important artefact in understanding the origins of the Hyksos, who ruled northern Egypt in the Second Intermediate Period (</w:t>
      </w:r>
      <w:r w:rsidRPr="0054396C">
        <w:rPr>
          <w:i/>
          <w:noProof/>
          <w:sz w:val="20"/>
          <w:szCs w:val="20"/>
        </w:rPr>
        <w:t>c</w:t>
      </w:r>
      <w:r w:rsidRPr="0054396C">
        <w:rPr>
          <w:noProof/>
          <w:sz w:val="20"/>
          <w:szCs w:val="20"/>
        </w:rPr>
        <w:t>. 1638–1530). The archaeological material uncovered by the excavator Manfred Bietak was insufficient in textual sources to identify their origin; however, overall the material culture trends indicate that these rulers had strong connections with the Syro-Palestinian region. Recent studies of the Canaanite jars to decipher the origin of the Hyksos have now been focused on pinpointing the exact geographical location of where these people came from. These interpretations have been impressionable from results of modern scientific studies regarding the properties and provenance of fabrics of these transport jars. The analysis of the jars presented two conflicting arguments: Bietak’s initial statement suggesting they were from the northern Levant (the region of Syria, Lebanon and northern Palestine) in contrast to interpretations of the southern Palestinian origin of the Gaza region. I intend to consider how these studies have helped us gain a better understanding of each argument and which of these has been most widely accepted. This study aims to present the issues of using archaeological data groups in isolation to draw conclusions and how effective the study of the Canaanite Jars has been in solving the mystery of the Hyksos’ origins.</w:t>
      </w:r>
    </w:p>
    <w:p w:rsidR="003E7E15" w:rsidRDefault="003E7E15" w:rsidP="0054396C"/>
    <w:p w:rsidR="0054396C" w:rsidRPr="00992B72" w:rsidRDefault="0054396C" w:rsidP="0054396C">
      <w:r>
        <w:rPr>
          <w:b/>
        </w:rPr>
        <w:t>Anne Hedt</w:t>
      </w:r>
      <w:r w:rsidR="00F730D5" w:rsidRPr="00DD7B70">
        <w:rPr>
          <w:rStyle w:val="Heading3Char"/>
        </w:rPr>
        <w:t xml:space="preserve"> </w:t>
      </w:r>
      <w:r w:rsidRPr="0054396C">
        <w:t>(Monash University, Australia)</w:t>
      </w:r>
      <w:r w:rsidR="006349C6">
        <w:br/>
      </w:r>
      <w:r w:rsidRPr="00992B72">
        <w:rPr>
          <w:i/>
          <w:noProof/>
        </w:rPr>
        <w:t>The J. S. Gotch Coffins and Mummies</w:t>
      </w:r>
    </w:p>
    <w:p w:rsidR="0054396C" w:rsidRPr="0054396C" w:rsidRDefault="0054396C" w:rsidP="0054396C">
      <w:pPr>
        <w:rPr>
          <w:sz w:val="20"/>
          <w:szCs w:val="20"/>
        </w:rPr>
      </w:pPr>
      <w:r w:rsidRPr="0054396C">
        <w:rPr>
          <w:noProof/>
          <w:sz w:val="20"/>
          <w:szCs w:val="20"/>
        </w:rPr>
        <w:lastRenderedPageBreak/>
        <w:t>In the early 1890s a prominent Melbourne businessman, J. S. Gotch, imported into the colony of Victoria two coffins and mummies from Egypt and presented them to the Trustees of the Royal Exhibition Buildings. After one of the mummies was unwrapped at a public event in January of 1893, the artefacts were then displayed in a specially prepared room at the Exhibition Buildings for almost 40 years. Having survived the intervening years, the coffins and mummies now reside in the National Gallery of Victoria and Museum Victoria respectively. Despite their long residence in Victoria, little is known of the provenance and history of these artefacts, and even their history after arrival in Melbourne is sketchy. In this paper, I will present the results of my current and ongoing research on these valuable relics, which is part of a larger project being undertaken between Monash University and Museums Victoria/National Gallery of Victoria to explore the collection policy behind the State Collections, partly through the study of specific items of significance. Not only do the Gotch coffins and mummies represent irreplaceable archaeological items, but they are now part of the history of Victoria, and obtaining a full history of them will contribute greatly to our knowledge of the collections.</w:t>
      </w:r>
    </w:p>
    <w:p w:rsidR="003E7E15" w:rsidRPr="003E7E15" w:rsidRDefault="003E7E15" w:rsidP="0054396C"/>
    <w:p w:rsidR="00960251" w:rsidRPr="00992B72" w:rsidRDefault="00960251" w:rsidP="00960251">
      <w:pPr>
        <w:rPr>
          <w:i/>
        </w:rPr>
      </w:pPr>
      <w:r w:rsidRPr="00992B72">
        <w:rPr>
          <w:b/>
        </w:rPr>
        <w:t>Shimohig Oshi Airi</w:t>
      </w:r>
      <w:r w:rsidRPr="00992B72">
        <w:t xml:space="preserve"> </w:t>
      </w:r>
      <w:r w:rsidR="00F730D5" w:rsidRPr="003E7E15">
        <w:t>(Kyushu</w:t>
      </w:r>
      <w:r w:rsidR="003E7E15">
        <w:t xml:space="preserve"> University, Japan</w:t>
      </w:r>
      <w:r w:rsidR="00F730D5" w:rsidRPr="003E7E15">
        <w:t xml:space="preserve">) </w:t>
      </w:r>
      <w:r w:rsidR="00D803C7">
        <w:br/>
      </w:r>
      <w:r w:rsidRPr="00992B72">
        <w:rPr>
          <w:i/>
        </w:rPr>
        <w:t>The Affective Dimension on Japanese Calligraphy</w:t>
      </w:r>
    </w:p>
    <w:p w:rsidR="00960251" w:rsidRPr="00960251" w:rsidRDefault="00960251" w:rsidP="00960251">
      <w:pPr>
        <w:rPr>
          <w:sz w:val="20"/>
          <w:szCs w:val="20"/>
        </w:rPr>
      </w:pPr>
      <w:r w:rsidRPr="00960251">
        <w:rPr>
          <w:sz w:val="20"/>
          <w:szCs w:val="20"/>
        </w:rPr>
        <w:t>In recent years, culture has been changing from ‘letters handwritten’ to ‘characters hit’ due to the development of science and technology. In fact, according to a public opinion poll on the Japanese language conducted by the Agency for Cultural Affairs every year, opportunities for handwritten characters are decreasing, while the importance of handwritten characters is increasing. Since ancient times, it has been said that handwritten characters often represent people’s mind, as there is a thought that ‘letters are a person’. These days, people spend their days with the word processor. We believe that somewhere in the handwritten letter, the person’s physicality, movement of the mind, aesthetic sense, etc. appear. The main research subjects are Japanese and international students. This is to compare Japanese students – who have a calligraphic culture – with international students – who do not. We completed two studies. First of all, we prepared 15 different types of typographical characters and a survey of calligraphy. Questions such as how ‘Do you like the picture?’ were asked, using a Likert scale 1–5. The second study was set in a museum. Here, we prepared a survey of 15 types of various calligraphy works with questions such as ‘which work would you buy in the museum?’ To analyse the second experiment, we needed imagination, as we expected different results from the first experimental result. The data of this study was used to ascertain the effect of handwriting. Through this research, we aim to become a catalyst for reaffirming the importance of handwritten letters.</w:t>
      </w:r>
    </w:p>
    <w:p w:rsidR="003E7E15" w:rsidRPr="008F0D2E" w:rsidRDefault="003E7E15" w:rsidP="00960251"/>
    <w:p w:rsidR="00BA793F" w:rsidRPr="008F0D2E" w:rsidRDefault="005F69A4" w:rsidP="00DD7B70">
      <w:pPr>
        <w:pStyle w:val="Heading2"/>
      </w:pPr>
      <w:bookmarkStart w:id="6" w:name="_Toc501711893"/>
      <w:r w:rsidRPr="008F0D2E">
        <w:t>Session 1B (Monash</w:t>
      </w:r>
      <w:r w:rsidR="00C00368">
        <w:t xml:space="preserve"> University, Australia</w:t>
      </w:r>
      <w:r w:rsidRPr="008F0D2E">
        <w:t>)</w:t>
      </w:r>
      <w:bookmarkEnd w:id="6"/>
    </w:p>
    <w:p w:rsidR="005F69A4" w:rsidRPr="00DD7B70" w:rsidRDefault="00D803C7" w:rsidP="00DD7B70">
      <w:pPr>
        <w:rPr>
          <w:rStyle w:val="SubtleEmphasis"/>
        </w:rPr>
      </w:pPr>
      <w:r w:rsidRPr="00DD7B70">
        <w:rPr>
          <w:rStyle w:val="SubtleEmphasis"/>
        </w:rPr>
        <w:t xml:space="preserve">Theme: </w:t>
      </w:r>
      <w:r w:rsidR="00960251" w:rsidRPr="00960251">
        <w:rPr>
          <w:rStyle w:val="SubtleEmphasis"/>
        </w:rPr>
        <w:t>Questions of the Cosmos</w:t>
      </w:r>
    </w:p>
    <w:p w:rsidR="00960251" w:rsidRPr="00992B72" w:rsidRDefault="00DD7B70" w:rsidP="00960251">
      <w:r>
        <w:rPr>
          <w:b/>
        </w:rPr>
        <w:br/>
      </w:r>
      <w:r w:rsidR="00960251" w:rsidRPr="00960251">
        <w:rPr>
          <w:b/>
        </w:rPr>
        <w:t>Michael Bardsley</w:t>
      </w:r>
      <w:r w:rsidR="005F69A4" w:rsidRPr="00D803C7">
        <w:t xml:space="preserve"> </w:t>
      </w:r>
      <w:r w:rsidR="00D803C7">
        <w:t xml:space="preserve">(Monash University, Australia) </w:t>
      </w:r>
      <w:r w:rsidR="00D803C7">
        <w:br/>
      </w:r>
      <w:r w:rsidR="00960251" w:rsidRPr="00992B72">
        <w:rPr>
          <w:i/>
          <w:noProof/>
        </w:rPr>
        <w:t>BubbleProfiler: A new code for vacuum decay dynamics in scalar field theories</w:t>
      </w:r>
    </w:p>
    <w:p w:rsidR="00960251" w:rsidRPr="00960251" w:rsidRDefault="00960251" w:rsidP="00960251">
      <w:pPr>
        <w:rPr>
          <w:noProof/>
          <w:sz w:val="20"/>
          <w:szCs w:val="20"/>
        </w:rPr>
      </w:pPr>
      <w:r w:rsidRPr="00960251">
        <w:rPr>
          <w:noProof/>
          <w:sz w:val="20"/>
          <w:szCs w:val="20"/>
        </w:rPr>
        <w:t>An open question in fundamental particle physics is how to account for the observed imbalance of matter and antimatter in the universe. One proposed mechanism is the decay of a false vacuum in the early universe. In the standard model, this is realised by the decay of the Higgs field during the electroweak epoch. However, this process is now known to be ineffective with the experimentally determined Higgs mass. It is therefore desirable to calculate the dynamics of analogous processes in extensions of the standard model and evaluate their potential to produce a matter-dominated universe.</w:t>
      </w:r>
    </w:p>
    <w:p w:rsidR="00960251" w:rsidRPr="00960251" w:rsidRDefault="00960251" w:rsidP="00960251">
      <w:pPr>
        <w:rPr>
          <w:noProof/>
          <w:sz w:val="20"/>
          <w:szCs w:val="20"/>
        </w:rPr>
      </w:pPr>
      <w:r w:rsidRPr="00960251">
        <w:rPr>
          <w:noProof/>
          <w:sz w:val="20"/>
          <w:szCs w:val="20"/>
        </w:rPr>
        <w:t>We present BubbleProfiler, a new C++ code that calculates bubble wall profiles given an arbitrary scalar potential for multiple quantum fields. The code is completely generic and can be applied to a wide range of standard model extensions. We leverage a new algorithm developed at Monash, which significantly improves on the performance of existing path deformation methods. A key advantage of our algorithm is that it scales efficiently when many fields are specified, unlike existing codes.</w:t>
      </w:r>
    </w:p>
    <w:p w:rsidR="00960251" w:rsidRPr="00960251" w:rsidRDefault="00960251" w:rsidP="00960251">
      <w:pPr>
        <w:rPr>
          <w:sz w:val="20"/>
          <w:szCs w:val="20"/>
        </w:rPr>
      </w:pPr>
      <w:r w:rsidRPr="00960251">
        <w:rPr>
          <w:noProof/>
          <w:sz w:val="20"/>
          <w:szCs w:val="20"/>
        </w:rPr>
        <w:lastRenderedPageBreak/>
        <w:t>We further discuss plans to extend the code by automating exploration of phase structures resulting from temperature dependent potentials. We aim to allow fully automated elucidation of transition dynamics in arbitrary standard model extensions. It will then be possible to scan the large parameter spaces of such models, excluding regions that cannot generate a matter-dominated universe by vacuum decay, thereby improving our understanding of the feasible regions within these spaces.</w:t>
      </w:r>
    </w:p>
    <w:p w:rsidR="00D803C7" w:rsidRPr="00D803C7" w:rsidRDefault="00D803C7" w:rsidP="00960251"/>
    <w:p w:rsidR="00960251" w:rsidRPr="00992B72" w:rsidRDefault="00960251" w:rsidP="00960251">
      <w:r>
        <w:rPr>
          <w:b/>
        </w:rPr>
        <w:t>Adam Kennedy</w:t>
      </w:r>
      <w:r w:rsidR="005F69A4" w:rsidRPr="00D803C7">
        <w:t xml:space="preserve"> </w:t>
      </w:r>
      <w:r w:rsidR="00D803C7">
        <w:t xml:space="preserve">(Monash University, Australia) </w:t>
      </w:r>
      <w:r w:rsidR="00C00368">
        <w:br/>
      </w:r>
      <w:r w:rsidRPr="00992B72">
        <w:rPr>
          <w:i/>
          <w:noProof/>
        </w:rPr>
        <w:t>Hydrogen Bonding in Space: Interactions of a salt with water on Mars</w:t>
      </w:r>
    </w:p>
    <w:p w:rsidR="00960251" w:rsidRPr="00960251" w:rsidRDefault="00960251" w:rsidP="00960251">
      <w:pPr>
        <w:rPr>
          <w:sz w:val="20"/>
          <w:szCs w:val="20"/>
        </w:rPr>
      </w:pPr>
      <w:r w:rsidRPr="00960251">
        <w:rPr>
          <w:noProof/>
          <w:sz w:val="20"/>
          <w:szCs w:val="20"/>
        </w:rPr>
        <w:t>Perchlorate salts have recently been identified on the surface of Mars. Given the high likelihood of water being present on Mars, there is potential for hydrogen bonding between the water and perchlorate anion to form hydrated perchlorate clusters, ClO</w:t>
      </w:r>
      <w:r w:rsidRPr="00960251">
        <w:rPr>
          <w:noProof/>
          <w:sz w:val="20"/>
          <w:szCs w:val="20"/>
          <w:vertAlign w:val="subscript"/>
        </w:rPr>
        <w:t>4</w:t>
      </w:r>
      <w:r w:rsidRPr="00960251">
        <w:rPr>
          <w:noProof/>
          <w:sz w:val="20"/>
          <w:szCs w:val="20"/>
        </w:rPr>
        <w:t>·(H</w:t>
      </w:r>
      <w:r w:rsidRPr="00960251">
        <w:rPr>
          <w:noProof/>
          <w:sz w:val="20"/>
          <w:szCs w:val="20"/>
          <w:vertAlign w:val="subscript"/>
        </w:rPr>
        <w:t>2</w:t>
      </w:r>
      <w:r w:rsidRPr="00960251">
        <w:rPr>
          <w:noProof/>
          <w:sz w:val="20"/>
          <w:szCs w:val="20"/>
        </w:rPr>
        <w:t>O)n where 0 ≤ n ≤ 5. Using ab-initio calculations at an MP2/aug-cc-pVDZ level of theory, the theoretical vibrational frequencies of the hydrated perchlorate clusters were compared to the experimental infrared photo dissociation spectra over a range of 800–3800cm-1. The theoretical spectra matching the experimental data allowed for the identification of the arrangement of the water molecules around the perchlorate anion. Hence, the structural geometries of the ClO</w:t>
      </w:r>
      <w:r w:rsidRPr="00960251">
        <w:rPr>
          <w:noProof/>
          <w:sz w:val="20"/>
          <w:szCs w:val="20"/>
          <w:vertAlign w:val="subscript"/>
        </w:rPr>
        <w:t>4</w:t>
      </w:r>
      <w:r w:rsidRPr="00960251">
        <w:rPr>
          <w:noProof/>
          <w:sz w:val="20"/>
          <w:szCs w:val="20"/>
        </w:rPr>
        <w:t>·(H</w:t>
      </w:r>
      <w:r w:rsidRPr="00960251">
        <w:rPr>
          <w:noProof/>
          <w:sz w:val="20"/>
          <w:szCs w:val="20"/>
          <w:vertAlign w:val="subscript"/>
        </w:rPr>
        <w:t>2</w:t>
      </w:r>
      <w:r w:rsidRPr="00960251">
        <w:rPr>
          <w:noProof/>
          <w:sz w:val="20"/>
          <w:szCs w:val="20"/>
        </w:rPr>
        <w:t>O)n ions with up to five waters were determined. It was identified that these hydrated perchlorate clusters formed asymmetrical hydrated complexes for within the first solvation shell. Five waters resulted in the formation of the second solvation shell. These results indicate that there is likely to be hydrogen bonding on Mars.</w:t>
      </w:r>
    </w:p>
    <w:p w:rsidR="00D803C7" w:rsidRPr="00D803C7" w:rsidRDefault="00D803C7" w:rsidP="00960251"/>
    <w:p w:rsidR="00960251" w:rsidRPr="00992B72" w:rsidRDefault="00960251" w:rsidP="00960251">
      <w:r w:rsidRPr="00960251">
        <w:rPr>
          <w:b/>
        </w:rPr>
        <w:t>Nicholas Reader</w:t>
      </w:r>
      <w:r w:rsidR="00D803C7">
        <w:t xml:space="preserve"> (Monash University, Australia) </w:t>
      </w:r>
      <w:r w:rsidR="00C00368">
        <w:br/>
      </w:r>
      <w:r w:rsidRPr="00992B72">
        <w:rPr>
          <w:i/>
          <w:noProof/>
        </w:rPr>
        <w:t>Examining Accretion Composition Effects on X-Ray Bursts</w:t>
      </w:r>
    </w:p>
    <w:p w:rsidR="00960251" w:rsidRPr="00960251" w:rsidRDefault="00960251" w:rsidP="00960251">
      <w:pPr>
        <w:rPr>
          <w:noProof/>
          <w:sz w:val="20"/>
          <w:szCs w:val="20"/>
        </w:rPr>
      </w:pPr>
      <w:r w:rsidRPr="00960251">
        <w:rPr>
          <w:noProof/>
          <w:sz w:val="20"/>
          <w:szCs w:val="20"/>
        </w:rPr>
        <w:t>When neutron stars are formed while in binary pairs with other stars, sometimes they attract material from the companion star. The material forms an accretion disc around the neutron star. Gradually, material from this disc accretes to the surface of the neutron star. Type I X-ray bursts occur when this settled material undergoes runaway thermonuclear fusion. These bursts can often rapidly reoccur continuously with a period on the order of hours or days.</w:t>
      </w:r>
    </w:p>
    <w:p w:rsidR="00960251" w:rsidRPr="00960251" w:rsidRDefault="00960251" w:rsidP="00960251">
      <w:pPr>
        <w:rPr>
          <w:noProof/>
          <w:sz w:val="20"/>
          <w:szCs w:val="20"/>
        </w:rPr>
      </w:pPr>
      <w:r w:rsidRPr="00960251">
        <w:rPr>
          <w:noProof/>
          <w:sz w:val="20"/>
          <w:szCs w:val="20"/>
        </w:rPr>
        <w:t>I am examining the sensitivity of the astronomy department’s Type I X-ray burst models to the composition of the accreted material. Up until now, the models have largely been assuming a simplified solar composition of 70% hydrogen, 28% helium, and 2% nitrogen by mass fraction. This is computationally fastest to run. Nitrogen is chosen to represent all metals as it is the most prominent element in the CNO nuclear reaction cycle, which is commonly found in stars.</w:t>
      </w:r>
    </w:p>
    <w:p w:rsidR="00960251" w:rsidRPr="00960251" w:rsidRDefault="00960251" w:rsidP="00960251">
      <w:pPr>
        <w:rPr>
          <w:noProof/>
          <w:sz w:val="20"/>
          <w:szCs w:val="20"/>
        </w:rPr>
      </w:pPr>
      <w:r w:rsidRPr="00960251">
        <w:rPr>
          <w:noProof/>
          <w:sz w:val="20"/>
          <w:szCs w:val="20"/>
        </w:rPr>
        <w:t>I have altered the elemental composition of this accretion disc material to see if it causes changes in the properties of the bursts, such as luminosity and period. The main alterations are changing the 2% metals fraction to more realistic levels, although we have also tried some extreme changes to see how that effects the outcome of the model.</w:t>
      </w:r>
    </w:p>
    <w:p w:rsidR="00960251" w:rsidRPr="00960251" w:rsidRDefault="00960251" w:rsidP="00960251">
      <w:pPr>
        <w:rPr>
          <w:sz w:val="20"/>
          <w:szCs w:val="20"/>
        </w:rPr>
      </w:pPr>
      <w:r w:rsidRPr="00960251">
        <w:rPr>
          <w:noProof/>
          <w:sz w:val="20"/>
          <w:szCs w:val="20"/>
        </w:rPr>
        <w:t>The results so far suggest the simpler model is underestimating the recurrence period of the X-ray bursts, but has been accurately predicting the maximum luminosity of the bursts.</w:t>
      </w:r>
    </w:p>
    <w:p w:rsidR="00C00368" w:rsidRPr="00D803C7" w:rsidRDefault="00C00368" w:rsidP="00DD7B70"/>
    <w:p w:rsidR="00960251" w:rsidRPr="00992B72" w:rsidRDefault="00960251" w:rsidP="00960251">
      <w:r>
        <w:rPr>
          <w:b/>
        </w:rPr>
        <w:t>Daniel Ricardo</w:t>
      </w:r>
      <w:r w:rsidR="00D803C7">
        <w:t xml:space="preserve"> (Monash University, Australia) </w:t>
      </w:r>
      <w:r w:rsidR="00C00368">
        <w:br/>
      </w:r>
      <w:r w:rsidRPr="00992B72">
        <w:rPr>
          <w:i/>
          <w:noProof/>
        </w:rPr>
        <w:t>Abiotic Synthesis and Polymerisation of Organics and its Implications on the Origin and Search for Life</w:t>
      </w:r>
    </w:p>
    <w:p w:rsidR="00960251" w:rsidRPr="00960251" w:rsidRDefault="00960251" w:rsidP="00960251">
      <w:pPr>
        <w:rPr>
          <w:sz w:val="20"/>
          <w:szCs w:val="20"/>
        </w:rPr>
      </w:pPr>
      <w:r w:rsidRPr="00960251">
        <w:rPr>
          <w:noProof/>
          <w:sz w:val="20"/>
          <w:szCs w:val="20"/>
        </w:rPr>
        <w:t xml:space="preserve">Cellular life is believed to have originated on Earth ~4.4–3.5 Gya in an environment characterised by a constantly evolving and alien landscape dominated by hydrothermal vents and a reducing atmosphere. To understand how life emerged from such a hostile environment, this review attempts to: (i) summarise the </w:t>
      </w:r>
      <w:r w:rsidRPr="00960251">
        <w:rPr>
          <w:noProof/>
          <w:sz w:val="20"/>
          <w:szCs w:val="20"/>
        </w:rPr>
        <w:lastRenderedPageBreak/>
        <w:t>abiotic processes that led to the formation of biologically relevant molecules in plausible geological environments and (ii) explain the non-enzymatic polymerisation towards more complex chemical systems. Moreover, this review discusses the ubiquitous and highly variable nature of mineral surfaces and endeavours to catalogue the plausible mineralogy of a Hadean–Archean environment. The geochemical properties of clay sheet-silicates are of particular importance, possibly acting as a scaffold for organic adsorption, polymerisation and catalytic reactions. Consequently, mineral surfaces could have driven the chemical evolution towards a Woese progenote, bridging the gap between living and non-living matter. At this stage of Earth’s evolution, precipitation and geothermal springs would have produced fields of aqueous pools undergoing filling and dehydration cycles at elevated temperatures. Such cycles could act as the prebiotic mechanisms that drive polymerisation and concentration of adsorbed organics on mineral clays, as well as overcoming the semi-permeable barrier of lipid-based proto-vesicles. This review will explore and discuss terrestrial- and aquatic-based hydrothermal geochemistry, and then apply hypothesised models to the origin of cellular life on Mars, and Saturn’s moon Enceledus.</w:t>
      </w:r>
    </w:p>
    <w:p w:rsidR="00C00368" w:rsidRPr="008F0D2E" w:rsidRDefault="00C00368" w:rsidP="00DD7B70"/>
    <w:p w:rsidR="00E549C4" w:rsidRPr="008F0D2E" w:rsidRDefault="00E549C4" w:rsidP="00DD7B70">
      <w:pPr>
        <w:pStyle w:val="Heading2"/>
      </w:pPr>
      <w:bookmarkStart w:id="7" w:name="_Toc501711894"/>
      <w:r w:rsidRPr="008F0D2E">
        <w:t>Session 1C (Monash</w:t>
      </w:r>
      <w:r w:rsidR="00C00368">
        <w:t xml:space="preserve"> University, Australia</w:t>
      </w:r>
      <w:r w:rsidRPr="008F0D2E">
        <w:t>)</w:t>
      </w:r>
      <w:bookmarkEnd w:id="7"/>
      <w:r w:rsidRPr="008F0D2E">
        <w:t xml:space="preserve"> </w:t>
      </w:r>
    </w:p>
    <w:p w:rsidR="005F69A4" w:rsidRPr="00DD7B70" w:rsidRDefault="00900192" w:rsidP="00DD7B70">
      <w:pPr>
        <w:rPr>
          <w:rStyle w:val="SubtleEmphasis"/>
        </w:rPr>
      </w:pPr>
      <w:r w:rsidRPr="00DD7B70">
        <w:rPr>
          <w:rStyle w:val="SubtleEmphasis"/>
        </w:rPr>
        <w:t xml:space="preserve">Theme: </w:t>
      </w:r>
      <w:r w:rsidR="00960251" w:rsidRPr="00960251">
        <w:rPr>
          <w:rStyle w:val="SubtleEmphasis"/>
        </w:rPr>
        <w:t>Interdisciplinary Approaches to Health</w:t>
      </w:r>
    </w:p>
    <w:p w:rsidR="002944E8" w:rsidRPr="00992B72" w:rsidRDefault="00DD7B70" w:rsidP="002944E8">
      <w:r>
        <w:rPr>
          <w:b/>
        </w:rPr>
        <w:br/>
      </w:r>
      <w:r w:rsidR="00960251" w:rsidRPr="00960251">
        <w:rPr>
          <w:b/>
        </w:rPr>
        <w:t>Nikita Fernandes, Maarisha Kumar, Monisha Iswaran</w:t>
      </w:r>
      <w:r w:rsidR="005F69A4" w:rsidRPr="00C00368">
        <w:t xml:space="preserve"> </w:t>
      </w:r>
      <w:r w:rsidR="00C00368">
        <w:t xml:space="preserve">(Monash University, Australia) </w:t>
      </w:r>
      <w:r>
        <w:br/>
      </w:r>
      <w:r w:rsidR="002944E8" w:rsidRPr="00992B72">
        <w:rPr>
          <w:i/>
          <w:noProof/>
        </w:rPr>
        <w:t>Psychological Trauma: Re-inventing communicative tools through Forum theatre</w:t>
      </w:r>
    </w:p>
    <w:p w:rsidR="002944E8" w:rsidRPr="002944E8" w:rsidRDefault="002944E8" w:rsidP="002944E8">
      <w:pPr>
        <w:rPr>
          <w:sz w:val="20"/>
          <w:szCs w:val="20"/>
        </w:rPr>
      </w:pPr>
      <w:r w:rsidRPr="002944E8">
        <w:rPr>
          <w:noProof/>
          <w:sz w:val="20"/>
          <w:szCs w:val="20"/>
        </w:rPr>
        <w:t>Communication of psychological trauma to lay audiences is detrimentally poor. This weakens their ability to understand and empathise with sufferers, and make informed decisions for them if necessary. Journal articles attempting to do this are often inaccessible and complicated with scientific and medical concepts, while artistic mediums communicate information in a more decipherable manner. Traditionally, Forum theatre has been used as a communicative tool in formal educational institutions to discuss and provide solutions to confronting issues, such as homelessness. Forum theatre will be used to communicate the fundamentals of psychological trauma to an international audience comprising of friends and family members of sufferers. Pre-existing literature and interviews with researchers and professionals in the fields of psychological trauma and Forum theatre will be used to gain qualitative data and formulate case studies for the research and Forum theatre performance. This will provide invaluable information and results for the research, which will enable a well-integrated and holistic performance. This research will also discuss the therapies and interventions for treating psychological trauma and how the target audience can be more supportive and understanding towards sufferers on a daily basis. Consequently, this will increase the understanding and empathy felt by them, which will enable diplomatic discussion of psychological trauma. It will vastly improve the quality of life for sufferers, and will promote more positive behaviours in the community. Furthermore, this research will show the benefit of communicating through artistic medium, and will encourage its use in other areas of mental illness.</w:t>
      </w:r>
    </w:p>
    <w:p w:rsidR="00C00368" w:rsidRPr="00C00368" w:rsidRDefault="00C00368" w:rsidP="00DD7B70"/>
    <w:p w:rsidR="002944E8" w:rsidRPr="00992B72" w:rsidRDefault="002944E8" w:rsidP="002944E8">
      <w:r w:rsidRPr="00992B72">
        <w:rPr>
          <w:b/>
          <w:noProof/>
        </w:rPr>
        <w:t>Lilliana</w:t>
      </w:r>
      <w:r w:rsidRPr="00992B72">
        <w:rPr>
          <w:b/>
        </w:rPr>
        <w:t xml:space="preserve"> </w:t>
      </w:r>
      <w:r w:rsidRPr="00992B72">
        <w:rPr>
          <w:b/>
          <w:noProof/>
        </w:rPr>
        <w:t>Bowen</w:t>
      </w:r>
      <w:r w:rsidRPr="00992B72">
        <w:t xml:space="preserve"> </w:t>
      </w:r>
      <w:r w:rsidR="00C00368">
        <w:t>(Monash University, Australia)</w:t>
      </w:r>
      <w:r w:rsidR="00900192">
        <w:br/>
      </w:r>
      <w:r w:rsidRPr="00992B72">
        <w:rPr>
          <w:i/>
          <w:noProof/>
        </w:rPr>
        <w:t>Investigating Brain Activation to Alleviate a Chronic Cough</w:t>
      </w:r>
    </w:p>
    <w:p w:rsidR="002944E8" w:rsidRPr="002944E8" w:rsidRDefault="002944E8" w:rsidP="002944E8">
      <w:pPr>
        <w:rPr>
          <w:sz w:val="20"/>
          <w:szCs w:val="20"/>
        </w:rPr>
      </w:pPr>
      <w:r w:rsidRPr="002944E8">
        <w:rPr>
          <w:noProof/>
          <w:sz w:val="20"/>
          <w:szCs w:val="20"/>
        </w:rPr>
        <w:t xml:space="preserve">Coughing is a protective mechanism designed to remove irritants from the airways. In some diseases, however, coughing becomes chronic and can be difficult to treat. It has become increasingly clear that coughing is more complex than once thought. It may be reflexive or voluntary, and the perceptual experience of an urge to cough has been identified as crucial in the voluntary mechanism. Previous research has determined that different sensory nerves within the airways are responsible for sending signals to the brain about different stimuli. For example, the jugular nerve relays information about capsaicin (the chemical that makes chillies spicy), while the nodose nerve can send information about capsaicin as well as ATP (a different chemical stimulus). Using this knowledge, the present research used a brain scan technique called functional </w:t>
      </w:r>
      <w:r w:rsidRPr="002944E8">
        <w:rPr>
          <w:noProof/>
          <w:sz w:val="20"/>
          <w:szCs w:val="20"/>
        </w:rPr>
        <w:lastRenderedPageBreak/>
        <w:t>magnetic resonance imaging (fMRI) to obtain data about brain regions involved in the subjective urge to cough during inhalation of either capsaicin or ATP. The aim was to determine whether the different chemical stimuli (sensed by the two different nerves within the airways) activated different areas in the brain. Results showed that the primary somatosensory cortex was activated more when capsaicin was inhaled compared to ATP. These results suggest that this area is key in differentiating incoming sensory information from the nodose and jugular nerves. By understanding how different pathways in the brain can lead to an urge to cough, it may be possible to design new drugs to alleviate a chronic cough while ensuring the reflexive cough mechanisms remain intact.</w:t>
      </w:r>
    </w:p>
    <w:p w:rsidR="002944E8" w:rsidRDefault="002944E8" w:rsidP="00DD7B70">
      <w:pPr>
        <w:rPr>
          <w:b/>
        </w:rPr>
      </w:pPr>
    </w:p>
    <w:p w:rsidR="002944E8" w:rsidRPr="00992B72" w:rsidRDefault="002944E8" w:rsidP="002944E8">
      <w:r w:rsidRPr="002944E8">
        <w:rPr>
          <w:b/>
        </w:rPr>
        <w:t xml:space="preserve">Jessica Bailey </w:t>
      </w:r>
      <w:r w:rsidR="00C00368">
        <w:t>(Monash University, Australia)</w:t>
      </w:r>
      <w:r w:rsidR="00900192">
        <w:br/>
      </w:r>
      <w:r w:rsidRPr="00992B72">
        <w:rPr>
          <w:i/>
          <w:noProof/>
        </w:rPr>
        <w:t>Development of Novel Irreversible Biased Agonists for the Adenosine A1 Receptor</w:t>
      </w:r>
    </w:p>
    <w:p w:rsidR="002944E8" w:rsidRPr="002944E8" w:rsidRDefault="002944E8" w:rsidP="002944E8">
      <w:pPr>
        <w:rPr>
          <w:sz w:val="20"/>
          <w:szCs w:val="20"/>
        </w:rPr>
      </w:pPr>
      <w:r w:rsidRPr="002944E8">
        <w:rPr>
          <w:noProof/>
          <w:sz w:val="20"/>
          <w:szCs w:val="20"/>
        </w:rPr>
        <w:t>Stimulation of the Adenosine A1 receptor (A1AR) is known to have powerful cytoprotective effects in conditions of cellular stress such as ischaemic reperfusion injury. However, therapeutic application of A1AR agonists to date has been unsuccessful due to severe haemodynamic effects. Through the development of a biased agonist at the A1AR, the overall aim of this research is to selectively stimulate signalling pathways from the A1AR to promote only cytoprotective effects. A biased A1AR agonist, VCP746, has already been identified; however, further structure-based drug design is required. Specifically, identifying an irreversible agonist could provide better understanding of the structural biology at the A1AR. Therefore novel agonists were investigated for their activity and irreversibility at the A1AR using ERK1/2 phosphorylation assays and xCELLigence real-time cell analysis. This study provides evidence the VCP746 derivatives could agonise the A1AR but further chemistry is required to develop an irreversible compound.</w:t>
      </w:r>
    </w:p>
    <w:p w:rsidR="00E549C4" w:rsidRDefault="00E549C4" w:rsidP="002944E8"/>
    <w:p w:rsidR="002944E8" w:rsidRPr="00992B72" w:rsidRDefault="002944E8" w:rsidP="002944E8">
      <w:r w:rsidRPr="00992B72">
        <w:rPr>
          <w:b/>
          <w:noProof/>
        </w:rPr>
        <w:t>Aleona</w:t>
      </w:r>
      <w:r w:rsidRPr="00992B72">
        <w:rPr>
          <w:b/>
        </w:rPr>
        <w:t xml:space="preserve"> </w:t>
      </w:r>
      <w:r w:rsidRPr="00992B72">
        <w:rPr>
          <w:b/>
          <w:noProof/>
        </w:rPr>
        <w:t>Invelito</w:t>
      </w:r>
      <w:r w:rsidRPr="00992B72">
        <w:t xml:space="preserve"> </w:t>
      </w:r>
      <w:r>
        <w:t>(Monash University, Australia)</w:t>
      </w:r>
      <w:r>
        <w:br/>
      </w:r>
      <w:r w:rsidRPr="00992B72">
        <w:rPr>
          <w:i/>
          <w:noProof/>
        </w:rPr>
        <w:t>Economic Cost of Poor Mental Health vs Benefits of Early Intervention and Prevention for Children and Adolescents. UK case study</w:t>
      </w:r>
    </w:p>
    <w:p w:rsidR="002944E8" w:rsidRPr="002944E8" w:rsidRDefault="002944E8" w:rsidP="002944E8">
      <w:pPr>
        <w:rPr>
          <w:noProof/>
          <w:sz w:val="20"/>
          <w:szCs w:val="20"/>
        </w:rPr>
      </w:pPr>
      <w:r w:rsidRPr="002944E8">
        <w:rPr>
          <w:noProof/>
          <w:sz w:val="20"/>
          <w:szCs w:val="20"/>
        </w:rPr>
        <w:t>In the UK, 1 in 4 adults will be diagnosed with a mental illness during their lifetime. With the economic cost of poor mental health estimated at £105 billion p.a. and rising, the benefits of preventive programs are extremely important for policymaking. This paper examines the economic cost arising from the prevalence of poor mental wellbeing and evaluates the benefits of these preventive programs. The specific programs analysed are those targeting early intervention, specifically among children and adolescents, and are evaluated on their effectiveness and return on investment (ROI).</w:t>
      </w:r>
    </w:p>
    <w:p w:rsidR="002944E8" w:rsidRPr="002944E8" w:rsidRDefault="002944E8" w:rsidP="002944E8">
      <w:pPr>
        <w:rPr>
          <w:noProof/>
          <w:sz w:val="20"/>
          <w:szCs w:val="20"/>
        </w:rPr>
      </w:pPr>
      <w:r w:rsidRPr="002944E8">
        <w:rPr>
          <w:noProof/>
          <w:sz w:val="20"/>
          <w:szCs w:val="20"/>
        </w:rPr>
        <w:t>Costs to society are grouped as direct, indirect and intangible. Indirect and intangible effects arise from the high correlation between poor mental health and other adversities, including – but not limited to – lost productivity, reduced quality of life, premature mortality, reduced physical health, comorbidity, poverty, homelessness, substance abuse and criminality. The causal relationship between them is ambiguous and often one can fuel the other. Preventive programs thus target both the mental illness and its companions, such as those described above.</w:t>
      </w:r>
    </w:p>
    <w:p w:rsidR="002944E8" w:rsidRPr="002944E8" w:rsidRDefault="002944E8" w:rsidP="002944E8">
      <w:pPr>
        <w:rPr>
          <w:sz w:val="20"/>
          <w:szCs w:val="20"/>
        </w:rPr>
      </w:pPr>
      <w:r w:rsidRPr="002944E8">
        <w:rPr>
          <w:noProof/>
          <w:sz w:val="20"/>
          <w:szCs w:val="20"/>
        </w:rPr>
        <w:t>Findings across different studies indicate that preventive programs deliver ROI in the range of £4.76–£19.81 per £1 invested, the cost of quality adjusted life-years (QALY) below accepted threshold and show high success rates, especially for children and adolescents. In the case of early intervention, reported ROI was found to be as high as 1500% over 10 years.</w:t>
      </w:r>
    </w:p>
    <w:p w:rsidR="00DD7B70" w:rsidRDefault="00DD7B70" w:rsidP="00DD7B70"/>
    <w:p w:rsidR="00DD7B70" w:rsidRPr="008F0D2E" w:rsidRDefault="00DD7B70" w:rsidP="00DD7B70"/>
    <w:p w:rsidR="00DD7B70" w:rsidRDefault="00DD7B70" w:rsidP="002759C1">
      <w:pPr>
        <w:pStyle w:val="Heading1"/>
        <w:jc w:val="center"/>
      </w:pPr>
      <w:bookmarkStart w:id="8" w:name="_Toc501711895"/>
      <w:r>
        <w:lastRenderedPageBreak/>
        <w:t>SESSON 2</w:t>
      </w:r>
      <w:bookmarkEnd w:id="8"/>
      <w:r>
        <w:br/>
      </w:r>
    </w:p>
    <w:p w:rsidR="00E549C4" w:rsidRPr="00DD7B70" w:rsidRDefault="00E549C4" w:rsidP="00DD7B70">
      <w:pPr>
        <w:pStyle w:val="Heading2"/>
      </w:pPr>
      <w:bookmarkStart w:id="9" w:name="_Toc501711896"/>
      <w:r w:rsidRPr="00DD7B70">
        <w:t xml:space="preserve">Session 2A (Monash </w:t>
      </w:r>
      <w:r w:rsidR="006F0F3D">
        <w:t xml:space="preserve">University, </w:t>
      </w:r>
      <w:r w:rsidRPr="00DD7B70">
        <w:t>Australia &amp; N</w:t>
      </w:r>
      <w:r w:rsidR="006F0F3D">
        <w:t xml:space="preserve">anyang </w:t>
      </w:r>
      <w:r w:rsidRPr="00DD7B70">
        <w:t>T</w:t>
      </w:r>
      <w:r w:rsidR="006F0F3D">
        <w:t xml:space="preserve">echnological </w:t>
      </w:r>
      <w:r w:rsidRPr="00DD7B70">
        <w:t>U</w:t>
      </w:r>
      <w:r w:rsidR="006F0F3D">
        <w:t>niversity, Singapore</w:t>
      </w:r>
      <w:r w:rsidRPr="00DD7B70">
        <w:t>)</w:t>
      </w:r>
      <w:bookmarkEnd w:id="9"/>
      <w:r w:rsidRPr="00DD7B70">
        <w:t xml:space="preserve"> </w:t>
      </w:r>
    </w:p>
    <w:p w:rsidR="00B8193B" w:rsidRPr="00DD7B70" w:rsidRDefault="00900192" w:rsidP="00DD7B70">
      <w:pPr>
        <w:rPr>
          <w:rStyle w:val="SubtleEmphasis"/>
        </w:rPr>
      </w:pPr>
      <w:r w:rsidRPr="00DD7B70">
        <w:rPr>
          <w:rStyle w:val="SubtleEmphasis"/>
        </w:rPr>
        <w:t xml:space="preserve">Theme: </w:t>
      </w:r>
      <w:r w:rsidR="002944E8" w:rsidRPr="002944E8">
        <w:rPr>
          <w:rStyle w:val="SubtleEmphasis"/>
        </w:rPr>
        <w:t>Technology &amp; the Body</w:t>
      </w:r>
    </w:p>
    <w:p w:rsidR="002944E8" w:rsidRPr="00992B72" w:rsidRDefault="00DD7B70" w:rsidP="002944E8">
      <w:r>
        <w:rPr>
          <w:b/>
        </w:rPr>
        <w:br/>
      </w:r>
      <w:r w:rsidR="002944E8" w:rsidRPr="00992B72">
        <w:rPr>
          <w:b/>
          <w:noProof/>
        </w:rPr>
        <w:t>Mikaela</w:t>
      </w:r>
      <w:r w:rsidR="002944E8" w:rsidRPr="00992B72">
        <w:rPr>
          <w:b/>
        </w:rPr>
        <w:t xml:space="preserve"> </w:t>
      </w:r>
      <w:r w:rsidR="002944E8" w:rsidRPr="00992B72">
        <w:rPr>
          <w:b/>
          <w:noProof/>
        </w:rPr>
        <w:t>Tai</w:t>
      </w:r>
      <w:r w:rsidR="002944E8" w:rsidRPr="00992B72">
        <w:t xml:space="preserve"> </w:t>
      </w:r>
      <w:r w:rsidR="00B8193B" w:rsidRPr="00900192">
        <w:t>(Monash</w:t>
      </w:r>
      <w:r w:rsidR="00900192">
        <w:t xml:space="preserve"> University, Australia</w:t>
      </w:r>
      <w:r w:rsidR="00B8193B" w:rsidRPr="00900192">
        <w:t xml:space="preserve">) </w:t>
      </w:r>
      <w:r>
        <w:br/>
      </w:r>
      <w:r w:rsidR="002944E8" w:rsidRPr="00992B72">
        <w:rPr>
          <w:i/>
          <w:noProof/>
        </w:rPr>
        <w:t>Telepathy, From Thought to Action: An investigation into neuroprosthetic implants</w:t>
      </w:r>
    </w:p>
    <w:p w:rsidR="002944E8" w:rsidRPr="002944E8" w:rsidRDefault="002944E8" w:rsidP="002944E8">
      <w:pPr>
        <w:rPr>
          <w:noProof/>
          <w:sz w:val="20"/>
          <w:szCs w:val="20"/>
        </w:rPr>
      </w:pPr>
      <w:r w:rsidRPr="002944E8">
        <w:rPr>
          <w:noProof/>
          <w:sz w:val="20"/>
          <w:szCs w:val="20"/>
        </w:rPr>
        <w:t>Every day people suffer from injuries or diseases that result in nerve damage and loss of function in a region of their body. This can leave people who were once capable of living completely independent lives dependant on others for even the most basic of tasks.</w:t>
      </w:r>
    </w:p>
    <w:p w:rsidR="002944E8" w:rsidRPr="002944E8" w:rsidRDefault="002944E8" w:rsidP="002944E8">
      <w:pPr>
        <w:rPr>
          <w:noProof/>
          <w:sz w:val="20"/>
          <w:szCs w:val="20"/>
        </w:rPr>
      </w:pPr>
      <w:r w:rsidRPr="002944E8">
        <w:rPr>
          <w:noProof/>
          <w:sz w:val="20"/>
          <w:szCs w:val="20"/>
        </w:rPr>
        <w:t>Recent advances in the fields of neurobiology and engineering have allowed for the growth of a new interface between the two areas of study, with the development of prosthetics controlled and operated entirely by thought. It has long been known that people move through signals that originate in the brain and travel to the pertinent body part via nerves, and that if these nerves are damaged, signals are unable to travel and there will be no communication between the brain and the body. However, it has only recently been discovered that a technology could be developed that allows the signals originating in the brain to be transformed into a code that can be detected and deciphered by computers. Scientists are now attempting to create a prosthetic that can detect thought produced by the brain and carry out the intended action.</w:t>
      </w:r>
    </w:p>
    <w:p w:rsidR="00900192" w:rsidRPr="002944E8" w:rsidRDefault="002944E8" w:rsidP="002944E8">
      <w:pPr>
        <w:rPr>
          <w:noProof/>
          <w:sz w:val="20"/>
          <w:szCs w:val="20"/>
        </w:rPr>
      </w:pPr>
      <w:r w:rsidRPr="002944E8">
        <w:rPr>
          <w:noProof/>
          <w:sz w:val="20"/>
          <w:szCs w:val="20"/>
        </w:rPr>
        <w:t>This presentation will primarily address the ways in which these prosthetics operate and, through the review of recent research, the advances that have been made in their accuracy. This will then highlight areas which can be improved upon in the technology in order to make it easier to use by patients.</w:t>
      </w:r>
    </w:p>
    <w:p w:rsidR="002944E8" w:rsidRPr="00900192" w:rsidRDefault="002944E8" w:rsidP="002944E8"/>
    <w:p w:rsidR="002944E8" w:rsidRPr="00992B72" w:rsidRDefault="002944E8" w:rsidP="002944E8">
      <w:r>
        <w:rPr>
          <w:b/>
        </w:rPr>
        <w:t>Chloe Cheng</w:t>
      </w:r>
      <w:r w:rsidR="00B8193B" w:rsidRPr="00900192">
        <w:t xml:space="preserve"> (Monash</w:t>
      </w:r>
      <w:r w:rsidR="00900192">
        <w:t xml:space="preserve"> University, Australia</w:t>
      </w:r>
      <w:r w:rsidR="00B8193B" w:rsidRPr="00900192">
        <w:t xml:space="preserve">) </w:t>
      </w:r>
      <w:r w:rsidR="008535E1">
        <w:br/>
      </w:r>
      <w:r w:rsidRPr="00992B72">
        <w:rPr>
          <w:i/>
          <w:noProof/>
        </w:rPr>
        <w:t>Diabetes Remission 12 Years after Laparoscopic Adjustable Gastric Banding (LAGB)</w:t>
      </w:r>
    </w:p>
    <w:p w:rsidR="002944E8" w:rsidRPr="002944E8" w:rsidRDefault="002944E8" w:rsidP="002944E8">
      <w:pPr>
        <w:rPr>
          <w:noProof/>
          <w:sz w:val="20"/>
          <w:szCs w:val="20"/>
        </w:rPr>
      </w:pPr>
      <w:r w:rsidRPr="002944E8">
        <w:rPr>
          <w:noProof/>
          <w:sz w:val="20"/>
          <w:szCs w:val="20"/>
        </w:rPr>
        <w:t>In the clinical setting, more than half of all patients with Type 2 diabetes mellitus are obese. In this subcategory of patients, metabolic surgery is increasingly being utilised to treat their myriad of metabolic comorbidities. The laparoscopic adjustable gastric band (LAGB) has the advantage of being the least invasive, reversible and has the lowest post-operative mortality rate. The goals of this study were to determine baseline and post-LAGB characteristics associated with type 2 diabetes remission 12 years after receiving metabolic surgery.</w:t>
      </w:r>
    </w:p>
    <w:p w:rsidR="002944E8" w:rsidRPr="002944E8" w:rsidRDefault="002944E8" w:rsidP="002944E8">
      <w:pPr>
        <w:rPr>
          <w:noProof/>
          <w:sz w:val="20"/>
          <w:szCs w:val="20"/>
        </w:rPr>
      </w:pPr>
      <w:r w:rsidRPr="002944E8">
        <w:rPr>
          <w:noProof/>
          <w:sz w:val="20"/>
          <w:szCs w:val="20"/>
        </w:rPr>
        <w:t>An observational cohort of 113 diabetic participants (mean BMI, 42.9) who underwent LAGB between January 20th, 2003 and February 21st, 2005 at the Avenue Hospital were contacted (in-person at outpatient clinic, by telephone or email) for evaluation. Of the 113 participants enrolled, 60 (53.1%) presented for review 12 years post-LAGB.</w:t>
      </w:r>
    </w:p>
    <w:p w:rsidR="002944E8" w:rsidRPr="002944E8" w:rsidRDefault="002944E8" w:rsidP="002944E8">
      <w:pPr>
        <w:rPr>
          <w:noProof/>
          <w:sz w:val="20"/>
          <w:szCs w:val="20"/>
        </w:rPr>
      </w:pPr>
      <w:r w:rsidRPr="002944E8">
        <w:rPr>
          <w:noProof/>
          <w:sz w:val="20"/>
          <w:szCs w:val="20"/>
        </w:rPr>
        <w:t>After 12 years, 15% of LAGB participants were in diabetes remission. Baseline factors associated with diabetes remission included a higher baseline weight, younger age, male gender, shorter diabetes duration, absence of insulin use, fewer oral hypoglycaemic medications, lower fasting blood glucose and a lower HbA1c. After 12 years, greater excess weight loss and increased number of clinic follow-up visits were associated with diabetes remission.</w:t>
      </w:r>
    </w:p>
    <w:p w:rsidR="002944E8" w:rsidRPr="002944E8" w:rsidRDefault="002944E8" w:rsidP="002944E8">
      <w:pPr>
        <w:rPr>
          <w:sz w:val="20"/>
          <w:szCs w:val="20"/>
        </w:rPr>
      </w:pPr>
      <w:r w:rsidRPr="002944E8">
        <w:rPr>
          <w:noProof/>
          <w:sz w:val="20"/>
          <w:szCs w:val="20"/>
        </w:rPr>
        <w:t>In younger obese diabetic patients with shorter duration of diabetes, LAGB is an effective tool for diabetes remission in the long term. Potential issues such as a high re-operation rate, frequent adjustments in the early post-operative period and long-term complications have to be considered when evaluating a patient for LAGB.</w:t>
      </w:r>
    </w:p>
    <w:p w:rsidR="002759C1" w:rsidRDefault="002759C1" w:rsidP="00DD7B70">
      <w:pPr>
        <w:rPr>
          <w:sz w:val="20"/>
        </w:rPr>
      </w:pPr>
    </w:p>
    <w:p w:rsidR="002944E8" w:rsidRPr="00992B72" w:rsidRDefault="002944E8" w:rsidP="002944E8">
      <w:r w:rsidRPr="00992B72">
        <w:rPr>
          <w:b/>
          <w:noProof/>
        </w:rPr>
        <w:t>Cassandra Seah Ei</w:t>
      </w:r>
      <w:r w:rsidRPr="00992B72">
        <w:rPr>
          <w:b/>
        </w:rPr>
        <w:t xml:space="preserve"> </w:t>
      </w:r>
      <w:r w:rsidRPr="00992B72">
        <w:rPr>
          <w:b/>
          <w:noProof/>
        </w:rPr>
        <w:t>Lyn</w:t>
      </w:r>
      <w:r w:rsidRPr="00992B72">
        <w:t xml:space="preserve"> </w:t>
      </w:r>
      <w:r w:rsidR="00B8193B" w:rsidRPr="00900192">
        <w:t>(N</w:t>
      </w:r>
      <w:r w:rsidR="00900192">
        <w:t xml:space="preserve">anyang </w:t>
      </w:r>
      <w:r w:rsidR="00B8193B" w:rsidRPr="00900192">
        <w:t>T</w:t>
      </w:r>
      <w:r w:rsidR="00900192">
        <w:t xml:space="preserve">echnological </w:t>
      </w:r>
      <w:r w:rsidR="00B8193B" w:rsidRPr="00900192">
        <w:t>U</w:t>
      </w:r>
      <w:r w:rsidR="00900192">
        <w:t>niversity, Singapore</w:t>
      </w:r>
      <w:r w:rsidR="00B8193B" w:rsidRPr="00900192">
        <w:t>)</w:t>
      </w:r>
      <w:r w:rsidR="002759C1">
        <w:br/>
      </w:r>
      <w:r w:rsidRPr="00992B72">
        <w:rPr>
          <w:i/>
          <w:noProof/>
        </w:rPr>
        <w:t>Matchlink – A Multi-Sensorial Game</w:t>
      </w:r>
    </w:p>
    <w:p w:rsidR="002944E8" w:rsidRPr="002944E8" w:rsidRDefault="002944E8" w:rsidP="002944E8">
      <w:pPr>
        <w:rPr>
          <w:sz w:val="20"/>
          <w:szCs w:val="20"/>
        </w:rPr>
      </w:pPr>
      <w:r w:rsidRPr="002944E8">
        <w:rPr>
          <w:noProof/>
          <w:sz w:val="20"/>
          <w:szCs w:val="20"/>
        </w:rPr>
        <w:t>As the population ages, an increasing number of people will be diagnosed with dementia, leading to an ever-growing global epidemic. It is essential to reduce the impacts of this crisis by mitigating the effects of the problem through cognitive stimulation and social interaction. Sensory stimulation can improve the wellbeing of people with dementia (PWD) and their caregivers by reducing their susceptibility to developing behavioural or psychological symptoms. Cognitive and motor stimulation are also able to prevent the decline of the patient’s state. This project led to the development of a multi-sensorial game (Matchlink) for use by Occupational Therapists (OT) to engage and stimulate PWDs with the intention to increase functional ability and prevent decline. Primary information was collected through an ethnographic observation at Ng Teng Fong Hospital with the guidance of an OT. Matchlink has different levels of cognitive and sensory skills, which can be applied by OTs on patients with varying intensity of dementia taking into consideration the hospital setting and the patient’s needs.</w:t>
      </w:r>
    </w:p>
    <w:p w:rsidR="001B066D" w:rsidRDefault="001B066D" w:rsidP="00DD7B70"/>
    <w:p w:rsidR="00E549C4" w:rsidRPr="008F0D2E" w:rsidRDefault="00E549C4" w:rsidP="002759C1">
      <w:pPr>
        <w:pStyle w:val="Heading2"/>
      </w:pPr>
      <w:bookmarkStart w:id="10" w:name="_Toc501711897"/>
      <w:r w:rsidRPr="008F0D2E">
        <w:t xml:space="preserve">Session 2B (Monash </w:t>
      </w:r>
      <w:r w:rsidR="003349BB">
        <w:t xml:space="preserve">University, </w:t>
      </w:r>
      <w:r w:rsidRPr="008F0D2E">
        <w:t>Australia &amp; Kyushu</w:t>
      </w:r>
      <w:r w:rsidR="003349BB">
        <w:t xml:space="preserve"> University, Japan</w:t>
      </w:r>
      <w:r w:rsidRPr="008F0D2E">
        <w:t>)</w:t>
      </w:r>
      <w:bookmarkEnd w:id="10"/>
      <w:r w:rsidRPr="008F0D2E">
        <w:t xml:space="preserve"> </w:t>
      </w:r>
    </w:p>
    <w:p w:rsidR="00656333" w:rsidRPr="00992B72" w:rsidRDefault="003349BB" w:rsidP="00656333">
      <w:pPr>
        <w:rPr>
          <w:i/>
          <w:noProof/>
        </w:rPr>
      </w:pPr>
      <w:r w:rsidRPr="002759C1">
        <w:rPr>
          <w:rStyle w:val="SubtleEmphasis"/>
        </w:rPr>
        <w:t xml:space="preserve">Theme: </w:t>
      </w:r>
      <w:r w:rsidR="002944E8" w:rsidRPr="002944E8">
        <w:rPr>
          <w:rStyle w:val="SubtleEmphasis"/>
        </w:rPr>
        <w:t>Contrasts in Culture</w:t>
      </w:r>
      <w:r w:rsidR="002759C1">
        <w:rPr>
          <w:rStyle w:val="SubtleEmphasis"/>
        </w:rPr>
        <w:br/>
      </w:r>
      <w:r w:rsidR="002759C1">
        <w:rPr>
          <w:rStyle w:val="SubtleEmphasis"/>
        </w:rPr>
        <w:br/>
      </w:r>
      <w:r w:rsidR="002759C1">
        <w:rPr>
          <w:rStyle w:val="SubtleEmphasis"/>
        </w:rPr>
        <w:br/>
      </w:r>
      <w:r w:rsidR="00656333">
        <w:rPr>
          <w:b/>
        </w:rPr>
        <w:t>Wei Liu</w:t>
      </w:r>
      <w:r w:rsidR="00B8193B" w:rsidRPr="003349BB">
        <w:t xml:space="preserve"> (Monash</w:t>
      </w:r>
      <w:r>
        <w:t xml:space="preserve"> University, Australia</w:t>
      </w:r>
      <w:r w:rsidR="002759C1" w:rsidRPr="003349BB">
        <w:t xml:space="preserve">) </w:t>
      </w:r>
      <w:r>
        <w:br/>
      </w:r>
      <w:r w:rsidR="00656333" w:rsidRPr="00992B72">
        <w:rPr>
          <w:i/>
          <w:noProof/>
        </w:rPr>
        <w:t>Are You Afraid of Teaching Mathematics?</w:t>
      </w:r>
    </w:p>
    <w:p w:rsidR="00656333" w:rsidRPr="00992B72" w:rsidRDefault="00656333" w:rsidP="00656333">
      <w:pPr>
        <w:rPr>
          <w:i/>
          <w:noProof/>
        </w:rPr>
      </w:pPr>
      <w:r w:rsidRPr="00992B72">
        <w:rPr>
          <w:i/>
          <w:noProof/>
        </w:rPr>
        <w:t>Research Project About Relationships Between Beliefs and Practices in Teaching Mathematics in Primary School in Australia and China.</w:t>
      </w:r>
    </w:p>
    <w:p w:rsidR="003349BB" w:rsidRDefault="00656333" w:rsidP="00656333">
      <w:pPr>
        <w:rPr>
          <w:noProof/>
          <w:sz w:val="20"/>
          <w:szCs w:val="20"/>
        </w:rPr>
      </w:pPr>
      <w:r w:rsidRPr="00656333">
        <w:rPr>
          <w:noProof/>
          <w:sz w:val="20"/>
          <w:szCs w:val="20"/>
        </w:rPr>
        <w:t>Research pointed out that children’s early skills in mathematics provide a foundation for their future learning (Duncan</w:t>
      </w:r>
      <w:r w:rsidRPr="00656333">
        <w:rPr>
          <w:i/>
          <w:noProof/>
          <w:sz w:val="20"/>
          <w:szCs w:val="20"/>
        </w:rPr>
        <w:t xml:space="preserve"> et al.</w:t>
      </w:r>
      <w:r w:rsidRPr="00656333">
        <w:rPr>
          <w:noProof/>
          <w:sz w:val="20"/>
          <w:szCs w:val="20"/>
        </w:rPr>
        <w:t>, 2007). Lack of early experiences that support mathematical development skills may lead to lower mathematical skill acquisition as well as lower overall educational attainment (Geary, 2000; Jordan</w:t>
      </w:r>
      <w:r w:rsidRPr="00656333">
        <w:rPr>
          <w:i/>
          <w:noProof/>
          <w:sz w:val="20"/>
          <w:szCs w:val="20"/>
        </w:rPr>
        <w:t xml:space="preserve"> et al.</w:t>
      </w:r>
      <w:r w:rsidRPr="00656333">
        <w:rPr>
          <w:noProof/>
          <w:sz w:val="20"/>
          <w:szCs w:val="20"/>
        </w:rPr>
        <w:t>, 2009; Organisation for Economic Co-operation and Development, 2010). Michigan studies (Stevenson and Stigler, 1992) confirmed that there is a gap between Eastern Asian and Western countries’ mathematics achievement. Recent studies in some countries including Australia note that primary school teachers generally suffer from a lack of preparedness to teach mathematics (Angus, Olney and Ainley, 2007) and also, teaching mathematics in primary schools has always been perceived as a difficult task (Schuck, 1996). There are many factors influence teaching practices (Borko and Putnam, 1996); for instance, research suggests that beliefs are one of the significant forces affecting teaching (Calderhead, 1996; Thompson, 1992; Pajares, 1992) as they are closely related to classroom practice. This study aims to explore the relationships between teachers’ beliefs and practices in mathematics teaching in Australia and China separately. This research takes a mixed-methods approach. Questionnaires will be used to investigate teachers’ beliefs, and interviews and observations will be used to collect the data for further exploration in order to find out whether there is a gap in between. By comparing the teachers’ beliefs in Australia and China, the last section of the research will explain to what extent teachers’ beliefs influence their practices in teaching mathematics. Consequently, this research is intended to provide suggestions to primary teachers in these two countries to become more effective in mathematics teaching.</w:t>
      </w:r>
    </w:p>
    <w:p w:rsidR="00656333" w:rsidRPr="00656333" w:rsidRDefault="00656333" w:rsidP="00656333">
      <w:pPr>
        <w:rPr>
          <w:sz w:val="20"/>
          <w:szCs w:val="20"/>
        </w:rPr>
      </w:pPr>
    </w:p>
    <w:p w:rsidR="00656333" w:rsidRPr="00992B72" w:rsidRDefault="00656333" w:rsidP="00656333">
      <w:r w:rsidRPr="00992B72">
        <w:rPr>
          <w:b/>
          <w:noProof/>
        </w:rPr>
        <w:t>April</w:t>
      </w:r>
      <w:r w:rsidRPr="00992B72">
        <w:rPr>
          <w:b/>
        </w:rPr>
        <w:t xml:space="preserve"> </w:t>
      </w:r>
      <w:r w:rsidRPr="00992B72">
        <w:rPr>
          <w:b/>
          <w:noProof/>
        </w:rPr>
        <w:t>Raar</w:t>
      </w:r>
      <w:r w:rsidRPr="00992B72">
        <w:t xml:space="preserve"> </w:t>
      </w:r>
      <w:r w:rsidR="00B8193B" w:rsidRPr="003349BB">
        <w:t>(Monash</w:t>
      </w:r>
      <w:r w:rsidR="003349BB">
        <w:t xml:space="preserve"> University, Australia</w:t>
      </w:r>
      <w:r w:rsidR="00B8193B" w:rsidRPr="003349BB">
        <w:t xml:space="preserve">) </w:t>
      </w:r>
      <w:r w:rsidR="001B066D">
        <w:br/>
      </w:r>
      <w:r w:rsidRPr="00992B72">
        <w:rPr>
          <w:i/>
          <w:noProof/>
        </w:rPr>
        <w:t>Education in a Global Setting</w:t>
      </w:r>
    </w:p>
    <w:p w:rsidR="00656333" w:rsidRPr="00656333" w:rsidRDefault="00656333" w:rsidP="00656333">
      <w:pPr>
        <w:rPr>
          <w:noProof/>
          <w:sz w:val="20"/>
          <w:szCs w:val="20"/>
        </w:rPr>
      </w:pPr>
      <w:r w:rsidRPr="00656333">
        <w:rPr>
          <w:noProof/>
          <w:sz w:val="20"/>
          <w:szCs w:val="20"/>
        </w:rPr>
        <w:t xml:space="preserve">This report will investigate the globalisation of education and the increasing need for globalised teachers. As classrooms become increasingly diverse, education professionals must have a greater intercultural </w:t>
      </w:r>
      <w:r w:rsidRPr="00656333">
        <w:rPr>
          <w:noProof/>
          <w:sz w:val="20"/>
          <w:szCs w:val="20"/>
        </w:rPr>
        <w:lastRenderedPageBreak/>
        <w:t>competency and awareness. Current studies and findings on this subject have shown increasing numbers of international assessment studies such as the Trends in International Mathematics and Science Study, and Program for International Student Assessment (Zhao, 2010) that have increased global competitiveness in the educational field. Additionally reports have also found that internships and international teaching programs enhanced intercultural capital and cultural awareness among teachers (Paik</w:t>
      </w:r>
      <w:r w:rsidRPr="00656333">
        <w:rPr>
          <w:i/>
          <w:noProof/>
          <w:sz w:val="20"/>
          <w:szCs w:val="20"/>
        </w:rPr>
        <w:t xml:space="preserve"> et al.</w:t>
      </w:r>
      <w:r w:rsidRPr="00656333">
        <w:rPr>
          <w:noProof/>
          <w:sz w:val="20"/>
          <w:szCs w:val="20"/>
        </w:rPr>
        <w:t>, 2015). Researchers such as Fedoruk have found that there is a need for wider global influence; however, the focus on Western perspectives limits the effectiveness of global education (1997).</w:t>
      </w:r>
    </w:p>
    <w:p w:rsidR="00656333" w:rsidRPr="00656333" w:rsidRDefault="00656333" w:rsidP="00656333">
      <w:pPr>
        <w:rPr>
          <w:sz w:val="20"/>
          <w:szCs w:val="20"/>
        </w:rPr>
      </w:pPr>
      <w:r w:rsidRPr="00656333">
        <w:rPr>
          <w:noProof/>
          <w:sz w:val="20"/>
          <w:szCs w:val="20"/>
        </w:rPr>
        <w:t>This report will look at education from a global perspective: comparing international approaches to schooling as well as policy. Local perspectives will also be addressed, specifically drawing from observations made from a low socio-economic school in the south-eastern suburbs of Melbourne Australia, and how global competency affects students within schools. Education is no longer a national issue but has rather become a global priority with a need for international policy and co-operation. Using Zhou’s theory of culturally competent education (2010), and drawing upon other cultural theorists, the economic, political and social impact of global citizenship on students and schools will be examined.</w:t>
      </w:r>
    </w:p>
    <w:p w:rsidR="003349BB" w:rsidRPr="00401794" w:rsidRDefault="003349BB" w:rsidP="00656333">
      <w:pPr>
        <w:rPr>
          <w:sz w:val="20"/>
        </w:rPr>
      </w:pPr>
    </w:p>
    <w:p w:rsidR="00656333" w:rsidRPr="00992B72" w:rsidRDefault="00656333" w:rsidP="00656333">
      <w:pPr>
        <w:rPr>
          <w:i/>
        </w:rPr>
      </w:pPr>
      <w:r w:rsidRPr="00992B72">
        <w:rPr>
          <w:b/>
        </w:rPr>
        <w:t>Satori Ishihara</w:t>
      </w:r>
      <w:r w:rsidRPr="00992B72">
        <w:t xml:space="preserve"> </w:t>
      </w:r>
      <w:r w:rsidR="00B8193B" w:rsidRPr="003349BB">
        <w:t>(Kyushu</w:t>
      </w:r>
      <w:r w:rsidR="003349BB">
        <w:t xml:space="preserve"> University, Japan</w:t>
      </w:r>
      <w:r w:rsidR="00B8193B" w:rsidRPr="003349BB">
        <w:t>)</w:t>
      </w:r>
      <w:r w:rsidR="003349BB">
        <w:br/>
      </w:r>
      <w:r w:rsidRPr="00992B72">
        <w:rPr>
          <w:i/>
        </w:rPr>
        <w:t>Cultural Differences in Humour – What’s funny to you?</w:t>
      </w:r>
    </w:p>
    <w:p w:rsidR="00656333" w:rsidRPr="00656333" w:rsidRDefault="00656333" w:rsidP="00656333">
      <w:pPr>
        <w:rPr>
          <w:sz w:val="20"/>
          <w:szCs w:val="20"/>
        </w:rPr>
      </w:pPr>
      <w:r w:rsidRPr="00656333">
        <w:rPr>
          <w:sz w:val="20"/>
          <w:szCs w:val="20"/>
        </w:rPr>
        <w:t>As the world becomes more global and complex, there is a growing need for individuals with the ability to understand and apply information to solve challenging issues that we face in this society. Accurate and friendly communication between nations will be phenomenally important. Humour is something essential for such communication. My research explores the multiple backgrounds hidden behind the humour of different cultures. People have experienced humour ever since they were born. Even babies understand something as being ‘funny’ and intentionally laugh. Laughing is essential to a healthy life, as it decreases the risks of depression and other psychological illnesses. Although it has numerous advantages, humour can become an obstacle when it comes to international communication, since the definition of funny varies between cultures and there are possibilities of misinterpreting them. Humour, being a key element of amicable communication, has many forms. Each country has its own perspective and criteria of humour, and the ignorance of this will sometimes lead to conflict. My research compares the humour of six countries: Japan, USA, China, France, the UK and Russia. Information will be gathered through internet, books, dictionaries, television, interviews and surveys from people. The interpretation of this data will be used to investigate the difference between each country’s humour and the reason which potentially exists. I will aim to discover new aspects of communication and humour through this research.</w:t>
      </w:r>
    </w:p>
    <w:p w:rsidR="003349BB" w:rsidRPr="003349BB" w:rsidRDefault="003349BB" w:rsidP="00656333"/>
    <w:p w:rsidR="00656333" w:rsidRPr="00992B72" w:rsidRDefault="00656333" w:rsidP="00656333">
      <w:pPr>
        <w:rPr>
          <w:i/>
        </w:rPr>
      </w:pPr>
      <w:r w:rsidRPr="00992B72">
        <w:rPr>
          <w:b/>
        </w:rPr>
        <w:t>Shin-Beom Cha</w:t>
      </w:r>
      <w:r w:rsidRPr="00992B72">
        <w:t xml:space="preserve"> </w:t>
      </w:r>
      <w:r w:rsidR="00B8193B" w:rsidRPr="003349BB">
        <w:t>(Kyushu</w:t>
      </w:r>
      <w:r w:rsidR="003349BB">
        <w:t xml:space="preserve"> University, Japan</w:t>
      </w:r>
      <w:r w:rsidR="00B8193B" w:rsidRPr="003349BB">
        <w:t xml:space="preserve">) </w:t>
      </w:r>
      <w:r w:rsidR="003349BB">
        <w:br/>
      </w:r>
      <w:r w:rsidRPr="00992B72">
        <w:rPr>
          <w:i/>
        </w:rPr>
        <w:t>Academic Tendencies of North Korea – The case of cognitive science</w:t>
      </w:r>
    </w:p>
    <w:p w:rsidR="00656333" w:rsidRPr="00656333" w:rsidRDefault="00656333" w:rsidP="00656333">
      <w:pPr>
        <w:rPr>
          <w:sz w:val="20"/>
          <w:szCs w:val="20"/>
        </w:rPr>
      </w:pPr>
      <w:r w:rsidRPr="00656333">
        <w:rPr>
          <w:sz w:val="20"/>
          <w:szCs w:val="20"/>
        </w:rPr>
        <w:t>Currently under the Juche doctrine, North Korea is famous for its dictatorship, spanning three generations – which is unparalleled in history. This exclusive, notorious nation has also been famous for its nuclear/missile experiments since 1960. However, we see and consume the image of North Korea through mass media – especially the news – which is limited in its perspective. Is North Korea truly a dystopia, a place where people are starving to death while Kim and his ruling party – the Korean Workers’ Party – live in luxury? Through this study, I aim to confirm the rigidity and exclusiveness of North Korea without using any media-like approach or reference.</w:t>
      </w:r>
    </w:p>
    <w:p w:rsidR="00656333" w:rsidRPr="00656333" w:rsidRDefault="00656333" w:rsidP="00656333">
      <w:pPr>
        <w:rPr>
          <w:sz w:val="20"/>
          <w:szCs w:val="20"/>
        </w:rPr>
      </w:pPr>
      <w:r w:rsidRPr="00656333">
        <w:rPr>
          <w:sz w:val="20"/>
          <w:szCs w:val="20"/>
        </w:rPr>
        <w:t xml:space="preserve">Throughout this study, I will focus on an academic perspective of North Korea in order to confirm its rigidity and exclusiveness. Academic independence is one of the biggest aspects of freedom of speech, and one can judge a nation's social freedom by checking whether it functions properly. I deliberately set the target field of study as cognitive science, because this interdisciplinary study demands international co-operation – thus it can be a measure for academic independence. This study will have three steps: First, reviewing the global </w:t>
      </w:r>
      <w:r w:rsidRPr="00656333">
        <w:rPr>
          <w:sz w:val="20"/>
          <w:szCs w:val="20"/>
        </w:rPr>
        <w:lastRenderedPageBreak/>
        <w:t>research trend/tendency of cognitive science and setting a hypothesis regarding North Korea's progress in cognitive science. Second, analysing the papers on cognitive science that have been published from North Korea's higher education/scientific institutions. Third, comparing global research with North Korea’s research.</w:t>
      </w:r>
    </w:p>
    <w:p w:rsidR="004653A5" w:rsidRPr="008F0D2E" w:rsidRDefault="004653A5" w:rsidP="00656333"/>
    <w:p w:rsidR="00E549C4" w:rsidRPr="008F0D2E" w:rsidRDefault="00E549C4" w:rsidP="002759C1">
      <w:pPr>
        <w:pStyle w:val="Heading2"/>
      </w:pPr>
      <w:bookmarkStart w:id="11" w:name="_Toc501711898"/>
      <w:r w:rsidRPr="008F0D2E">
        <w:t>Session 2C (Monash</w:t>
      </w:r>
      <w:r w:rsidR="00AE0E12">
        <w:t xml:space="preserve"> University,</w:t>
      </w:r>
      <w:r w:rsidRPr="008F0D2E">
        <w:t xml:space="preserve"> Australia &amp; N</w:t>
      </w:r>
      <w:r w:rsidR="00AE0E12">
        <w:t xml:space="preserve">anyang </w:t>
      </w:r>
      <w:r w:rsidRPr="008F0D2E">
        <w:t>T</w:t>
      </w:r>
      <w:r w:rsidR="00AE0E12">
        <w:t xml:space="preserve">echnological </w:t>
      </w:r>
      <w:r w:rsidRPr="008F0D2E">
        <w:t>U</w:t>
      </w:r>
      <w:r w:rsidR="00AE0E12">
        <w:t>niversity, Singapore</w:t>
      </w:r>
      <w:r w:rsidRPr="008F0D2E">
        <w:t>)</w:t>
      </w:r>
      <w:bookmarkEnd w:id="11"/>
    </w:p>
    <w:p w:rsidR="002759C1" w:rsidRPr="002759C1" w:rsidRDefault="00AE0E12" w:rsidP="00DD7B70">
      <w:pPr>
        <w:rPr>
          <w:rStyle w:val="SubtleEmphasis"/>
        </w:rPr>
      </w:pPr>
      <w:r w:rsidRPr="002759C1">
        <w:rPr>
          <w:rStyle w:val="SubtleEmphasis"/>
        </w:rPr>
        <w:t xml:space="preserve">Theme: </w:t>
      </w:r>
      <w:r w:rsidR="00656333" w:rsidRPr="00656333">
        <w:rPr>
          <w:rStyle w:val="SubtleEmphasis"/>
        </w:rPr>
        <w:t>Drone &amp; Computer Technology</w:t>
      </w:r>
    </w:p>
    <w:p w:rsidR="00AE0E12" w:rsidRPr="00401794" w:rsidRDefault="00AE0E12" w:rsidP="00656333">
      <w:pPr>
        <w:rPr>
          <w:sz w:val="20"/>
        </w:rPr>
      </w:pPr>
    </w:p>
    <w:p w:rsidR="00AB3D24" w:rsidRPr="00992B72" w:rsidRDefault="00AB3D24" w:rsidP="00AB3D24">
      <w:r>
        <w:rPr>
          <w:b/>
        </w:rPr>
        <w:t>Alwin Wang</w:t>
      </w:r>
      <w:r w:rsidR="0027233B" w:rsidRPr="00AE0E12">
        <w:t xml:space="preserve"> (</w:t>
      </w:r>
      <w:r w:rsidRPr="00AE0E12">
        <w:t>Monash</w:t>
      </w:r>
      <w:r>
        <w:t xml:space="preserve"> University, Australia</w:t>
      </w:r>
      <w:r w:rsidRPr="00AE0E12">
        <w:t>)</w:t>
      </w:r>
      <w:r w:rsidR="00AE0E12">
        <w:br/>
      </w:r>
      <w:r w:rsidRPr="00992B72">
        <w:rPr>
          <w:i/>
          <w:noProof/>
        </w:rPr>
        <w:t>Estimation of Drag for a QuadPlane Hybrid Unmanned Aerial Vehicle</w:t>
      </w:r>
    </w:p>
    <w:p w:rsidR="00AB3D24" w:rsidRPr="00AB3D24" w:rsidRDefault="00AB3D24" w:rsidP="00AB3D24">
      <w:pPr>
        <w:rPr>
          <w:sz w:val="20"/>
          <w:szCs w:val="20"/>
        </w:rPr>
      </w:pPr>
      <w:r w:rsidRPr="00AB3D24">
        <w:rPr>
          <w:noProof/>
          <w:sz w:val="20"/>
          <w:szCs w:val="20"/>
        </w:rPr>
        <w:t>The dramatic increase in the popularity of drones has led to a variety of novel, multifunctional configurations which lack rigorous aerodynamic analysis. One recent configuration, QuadPlane, aims to provide an efficient cruise with vertical take-off and landing by combining a traditional quadcopter with a standard aircraft layout. This presentation provides a detailed theoretical drag model due to the addition of the quadcopter system. The drag model will be validated in wind tunnel testing using the Monash Unmanned Aerial Systems QuadPlane aircraft. Once completed, the model will allow future designers to estimate the impact of adding a quadcopter system to an existing aircraft and allow for better estimates of range and endurance of QuadPlane drones.</w:t>
      </w:r>
    </w:p>
    <w:p w:rsidR="00AE0E12" w:rsidRPr="00AE0E12" w:rsidRDefault="00AE0E12" w:rsidP="00AB3D24"/>
    <w:p w:rsidR="00AB3D24" w:rsidRPr="00992B72" w:rsidRDefault="00AB3D24" w:rsidP="00AB3D24">
      <w:r w:rsidRPr="00992B72">
        <w:rPr>
          <w:b/>
          <w:noProof/>
        </w:rPr>
        <w:t>Shantanu</w:t>
      </w:r>
      <w:r w:rsidRPr="00992B72">
        <w:rPr>
          <w:b/>
        </w:rPr>
        <w:t xml:space="preserve"> </w:t>
      </w:r>
      <w:r w:rsidRPr="00992B72">
        <w:rPr>
          <w:b/>
          <w:noProof/>
        </w:rPr>
        <w:t>Jaiswal</w:t>
      </w:r>
      <w:r w:rsidRPr="00992B72">
        <w:t xml:space="preserve"> </w:t>
      </w:r>
      <w:r w:rsidR="0027233B" w:rsidRPr="00AE0E12">
        <w:t>(N</w:t>
      </w:r>
      <w:r w:rsidR="00AE0E12">
        <w:t xml:space="preserve">anyang </w:t>
      </w:r>
      <w:r w:rsidR="0027233B" w:rsidRPr="00AE0E12">
        <w:t>T</w:t>
      </w:r>
      <w:r w:rsidR="00AE0E12">
        <w:t xml:space="preserve">echnological </w:t>
      </w:r>
      <w:r w:rsidR="0027233B" w:rsidRPr="00AE0E12">
        <w:t>U</w:t>
      </w:r>
      <w:r w:rsidR="00AE0E12">
        <w:t>niversity, Singapore</w:t>
      </w:r>
      <w:r w:rsidR="0027233B" w:rsidRPr="00AE0E12">
        <w:t>)</w:t>
      </w:r>
      <w:r w:rsidR="00AE0E12">
        <w:br/>
      </w:r>
      <w:r w:rsidRPr="00992B72">
        <w:rPr>
          <w:i/>
          <w:noProof/>
        </w:rPr>
        <w:t>Exploring the Development of Deep-Learning Models and its Application in Text- and Graph-Based Learning</w:t>
      </w:r>
    </w:p>
    <w:p w:rsidR="00AB3D24" w:rsidRDefault="00AB3D24" w:rsidP="00AB3D24">
      <w:pPr>
        <w:rPr>
          <w:noProof/>
          <w:sz w:val="20"/>
          <w:szCs w:val="20"/>
        </w:rPr>
      </w:pPr>
      <w:r w:rsidRPr="00AB3D24">
        <w:rPr>
          <w:noProof/>
          <w:sz w:val="20"/>
          <w:szCs w:val="20"/>
        </w:rPr>
        <w:t>With the advent of GPUs, deep learning has dominated traditional machine-learning models in multiple applications such as text, images, etc. This has prompted the development of multiple deep-learning libraries, allowing users to create and deploy powerful models. However, no clear rationale has been provided for important assumptions such as random weight initialisation or the choice of activation functions. This paper encompasses two primary topics: exploring bare-bones implementation of a deep neural network, and application of deep learning in aspect-based sentiment analysis and graph-based learning. Firstly, we explore the basic yet fundamental assumptions in creating a bare-bones neural network through the Python NumPy library. A top-level neural network model is proposed for initialising starting weights and predicting activation functions for the underlying primary network, based on the domain and features of input data. For example, starting weights and activation functions for a fully connected network in the text domain might differ from those for a Convnet network in an image domain. The top-level network serves to estimate these parameters. Secondly, the Keras library was used to build deep-learning models based on existing research to identify the sentiment for a given aspect term in a sentence. The models – LSTM variants such as Target-Connected-LSTM and Attention-LSTM – were tested on the Semeval-2014-task4 dataset, and are used for Enron dataset profiling. Additionally, implementation of popular graph-based learning models such as node2vec, sub2vec and rootedgraph2vec were explored in the domain of malware-detection datasets besides the standard KDD datasets.</w:t>
      </w:r>
    </w:p>
    <w:p w:rsidR="00AB3D24" w:rsidRPr="00AB3D24" w:rsidRDefault="00AB3D24" w:rsidP="00AB3D24">
      <w:pPr>
        <w:rPr>
          <w:sz w:val="20"/>
          <w:szCs w:val="20"/>
        </w:rPr>
      </w:pPr>
    </w:p>
    <w:p w:rsidR="00AB3D24" w:rsidRPr="008535E1" w:rsidRDefault="00AB3D24" w:rsidP="00AB3D24">
      <w:pPr>
        <w:rPr>
          <w:i/>
          <w:noProof/>
        </w:rPr>
      </w:pPr>
      <w:r w:rsidRPr="00992B72">
        <w:rPr>
          <w:b/>
          <w:noProof/>
        </w:rPr>
        <w:t>Zhongang</w:t>
      </w:r>
      <w:r w:rsidRPr="00992B72">
        <w:rPr>
          <w:b/>
        </w:rPr>
        <w:t xml:space="preserve"> </w:t>
      </w:r>
      <w:r w:rsidRPr="00992B72">
        <w:rPr>
          <w:b/>
          <w:noProof/>
        </w:rPr>
        <w:t>Cai</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Multirotor UAV State Estimator Design for Drift-free Velocity Estimation</w:t>
      </w:r>
      <w:r w:rsidR="008535E1">
        <w:rPr>
          <w:i/>
          <w:noProof/>
        </w:rPr>
        <w:br/>
      </w:r>
      <w:r w:rsidR="008535E1">
        <w:rPr>
          <w:i/>
          <w:noProof/>
        </w:rPr>
        <w:br/>
      </w:r>
      <w:r w:rsidRPr="00AB3D24">
        <w:rPr>
          <w:noProof/>
          <w:sz w:val="20"/>
          <w:szCs w:val="20"/>
        </w:rPr>
        <w:t xml:space="preserve">Velocity estimation is important in the stability and control of multirotor unmanned aerial vehicles (UAVs). Currently, GPS is often used to obtain positions of the multirotor UAV and velocity is obtained through time </w:t>
      </w:r>
      <w:r w:rsidRPr="00AB3D24">
        <w:rPr>
          <w:noProof/>
          <w:sz w:val="20"/>
          <w:szCs w:val="20"/>
        </w:rPr>
        <w:lastRenderedPageBreak/>
        <w:t>derivative of the positions. However, when GPS is not available, the multirotor UAV does not have a sensor that accurately measures velocity. Conventionally, the integral acceleration value read by an accelerometer with respect to time is used for velocity. As the accelerometer reading often contains systematic errors, the velocity obtained through this system tends to drift over time, which undermines the controllability and safety of multirotor UAV. As the multirotor UAV flies through the air, various forms of drag forces, such as induced drag, profile drag and drag due to the blade flapping effect, are exerted on the multirotor UAV. The magnitude of these drag forces is related to the magnitude of the velocity. After reviewing the literature, a new velocity estimator is proposed. This estimator consists of a dynamic model of a test multirotor UAV, which takes in thrust from the propellers and drag forces to predict the acceleration. An Extended Kalman Filter is introduced to not only correct the predicted acceleration with acceleration measurement but also provide an accurate estimation of the velocity. The proposed estimator was tested in a simulation constructed using Simulink, where flight data was generated from the dynamic model. After that, real-life experimental flight data was imported to evaluate the validity of the estimator.</w:t>
      </w:r>
    </w:p>
    <w:p w:rsidR="002759C1" w:rsidRDefault="002759C1" w:rsidP="00DD7B70"/>
    <w:p w:rsidR="00622541" w:rsidRDefault="00622541">
      <w:pPr>
        <w:pStyle w:val="Heading2"/>
      </w:pPr>
      <w:bookmarkStart w:id="12" w:name="_Toc501711899"/>
      <w:r>
        <w:t>Session 2D (Monash Universi</w:t>
      </w:r>
      <w:r w:rsidR="00615697">
        <w:t>ty, Australia, Nanyang Technological</w:t>
      </w:r>
      <w:r>
        <w:t xml:space="preserve"> University, Singapore &amp; Monash University, Malaysia)</w:t>
      </w:r>
      <w:bookmarkEnd w:id="12"/>
    </w:p>
    <w:p w:rsidR="00622541" w:rsidRPr="002759C1" w:rsidRDefault="00622541" w:rsidP="00622541">
      <w:pPr>
        <w:rPr>
          <w:rStyle w:val="SubtleEmphasis"/>
        </w:rPr>
      </w:pPr>
      <w:r w:rsidRPr="002759C1">
        <w:rPr>
          <w:rStyle w:val="SubtleEmphasis"/>
        </w:rPr>
        <w:t xml:space="preserve">Theme: </w:t>
      </w:r>
      <w:r w:rsidRPr="00622541">
        <w:rPr>
          <w:rStyle w:val="SubtleEmphasis"/>
        </w:rPr>
        <w:t>Media &amp; the Audience</w:t>
      </w:r>
    </w:p>
    <w:p w:rsidR="00622541" w:rsidRDefault="00622541" w:rsidP="00622541">
      <w:pPr>
        <w:rPr>
          <w:b/>
        </w:rPr>
      </w:pPr>
    </w:p>
    <w:p w:rsidR="00622541" w:rsidRPr="00992B72" w:rsidRDefault="00622541" w:rsidP="00622541">
      <w:r w:rsidRPr="00622541">
        <w:rPr>
          <w:b/>
        </w:rPr>
        <w:t xml:space="preserve">Sheryl Goh </w:t>
      </w:r>
      <w:r w:rsidRPr="00AE0E12">
        <w:t>(Monash</w:t>
      </w:r>
      <w:r>
        <w:t xml:space="preserve"> University, Australia</w:t>
      </w:r>
      <w:r w:rsidRPr="00AE0E12">
        <w:t xml:space="preserve">) </w:t>
      </w:r>
      <w:r>
        <w:br/>
      </w:r>
      <w:r w:rsidRPr="00992B72">
        <w:rPr>
          <w:i/>
          <w:noProof/>
        </w:rPr>
        <w:t>Breaking Down News Representations and Its Impact on Perceptions of Older Adults</w:t>
      </w:r>
    </w:p>
    <w:p w:rsidR="00622541" w:rsidRPr="00622541" w:rsidRDefault="00622541" w:rsidP="00622541">
      <w:pPr>
        <w:rPr>
          <w:noProof/>
          <w:sz w:val="20"/>
          <w:szCs w:val="20"/>
        </w:rPr>
      </w:pPr>
      <w:r w:rsidRPr="00622541">
        <w:rPr>
          <w:noProof/>
          <w:sz w:val="20"/>
          <w:szCs w:val="20"/>
        </w:rPr>
        <w:t>The global pattern of population ageing across many developed countries means proportionally more resources will be dedicated to the older demographic. In a world of scarce resources, there is a necessity to better understand this trend and ensure efficiency. The importance of this issue goes beyond practicality. As the generation which preceded ours, they have contributed to the development of our culture and economy – and are still doing so. We therefore bear the responsibility to understand and advocate for better treatment of the elderly. Initial research revealed a systemic trend of problem-focused reporting, potentially creating and reinforcing elderly stereotypes. This affects how the public, workplaces and authorities perceive and treat seniors, consciously or otherwise. There is a need for more alternative voices in representing older people on the news, and this paper aims to explore how news representations construct perceptions and influence treatment of older adults.</w:t>
      </w:r>
    </w:p>
    <w:p w:rsidR="00622541" w:rsidRPr="00622541" w:rsidRDefault="00622541" w:rsidP="00622541">
      <w:pPr>
        <w:rPr>
          <w:sz w:val="20"/>
          <w:szCs w:val="20"/>
        </w:rPr>
      </w:pPr>
      <w:r w:rsidRPr="00622541">
        <w:rPr>
          <w:noProof/>
          <w:sz w:val="20"/>
          <w:szCs w:val="20"/>
        </w:rPr>
        <w:t>I aim to explore such texts published in the last five years with quantitative content analysis, qualitative framing and discourse analysis. Key thematic coverage and distribution over time across mainstream and alternative media will be presented along with framing and discourse analysis of selected articles. This explores how contextualisation and narratives of the articles, as well as stylistic cues that lend itself to intensifying or promoting existing perceptions of seniors. These findings will be useful in future implementation of peace and developmental journalism. I hope to promote a more inclusive and holistic representation of the societies we live in, and question the role of the modern-day journalist.</w:t>
      </w:r>
    </w:p>
    <w:p w:rsidR="00BA0844" w:rsidRDefault="00BA0844" w:rsidP="00622541">
      <w:pPr>
        <w:rPr>
          <w:b/>
          <w:noProof/>
        </w:rPr>
      </w:pPr>
    </w:p>
    <w:p w:rsidR="00622541" w:rsidRPr="00992B72" w:rsidRDefault="00622541" w:rsidP="00622541">
      <w:r w:rsidRPr="00992B72">
        <w:rPr>
          <w:b/>
          <w:noProof/>
        </w:rPr>
        <w:t>Gene</w:t>
      </w:r>
      <w:r w:rsidRPr="00992B72">
        <w:rPr>
          <w:b/>
        </w:rPr>
        <w:t xml:space="preserve"> </w:t>
      </w:r>
      <w:r w:rsidRPr="00992B72">
        <w:rPr>
          <w:b/>
          <w:noProof/>
        </w:rPr>
        <w:t>Efron</w:t>
      </w:r>
      <w:r>
        <w:rPr>
          <w:b/>
          <w:noProof/>
        </w:rPr>
        <w:t xml:space="preserve"> </w:t>
      </w:r>
      <w:r w:rsidRPr="00AE0E12">
        <w:t>(Monash</w:t>
      </w:r>
      <w:r>
        <w:t xml:space="preserve"> University, Australia</w:t>
      </w:r>
      <w:r w:rsidRPr="00AE0E12">
        <w:t>)</w:t>
      </w:r>
      <w:r>
        <w:br/>
      </w:r>
      <w:r w:rsidRPr="00992B72">
        <w:rPr>
          <w:i/>
          <w:noProof/>
        </w:rPr>
        <w:t>How Local Newspapers Are Shaping Australia’s Transition from Fossil Fuels to Renewable Energy</w:t>
      </w:r>
    </w:p>
    <w:p w:rsidR="00622541" w:rsidRPr="00622541" w:rsidRDefault="00622541" w:rsidP="00622541">
      <w:pPr>
        <w:rPr>
          <w:sz w:val="20"/>
          <w:szCs w:val="20"/>
        </w:rPr>
      </w:pPr>
      <w:r w:rsidRPr="00622541">
        <w:rPr>
          <w:noProof/>
          <w:sz w:val="20"/>
          <w:szCs w:val="20"/>
        </w:rPr>
        <w:t xml:space="preserve">This study aims to analyse how local newspapers are representing Australia’s transition from fossil fuels to renewable energy in energy-supplying regions of Victoria. How the transformation is portrayed and conveyed to local communities could shape local action, the communal image, the local economy and the health of residents. The broader consequences to the environment could also be substantial. In the digital age where publics exist between nations, local newspapers have the ability to retain the original idealised vision of the public sphere of stimulating public discussion and reflecting public opinion. In a period where fake news and </w:t>
      </w:r>
      <w:r w:rsidRPr="00622541">
        <w:rPr>
          <w:noProof/>
          <w:sz w:val="20"/>
          <w:szCs w:val="20"/>
        </w:rPr>
        <w:lastRenderedPageBreak/>
        <w:t>climate scepticism coexist, the importance of comprehensive and accurate environmental communication has never been more imperative. For this study, a content analysis of newspapers in the Latrobe Valley region will be conducted. The literature suggests that major newspapers across Australia have a history of leaning towards a sceptic rhetoric; however, no study to this date has observed the position of local newspapers on the topic of climate change or on the transition from fossil fuels to renewable energy. This study expects that local newspapers will be more sensitive to the transition and more progressive in their attitude towards climate change than state newspapers. If these expectations are not fulfilled, then Australia is likely to experience great difficulty in reaching their target of reducing emissions by 26–28% on 2005 levels by 2030.</w:t>
      </w:r>
      <w:r w:rsidRPr="00622541">
        <w:rPr>
          <w:sz w:val="20"/>
          <w:szCs w:val="20"/>
        </w:rPr>
        <w:br/>
      </w:r>
    </w:p>
    <w:p w:rsidR="00622541" w:rsidRPr="00992B72" w:rsidRDefault="00622541" w:rsidP="00622541">
      <w:r w:rsidRPr="00622541">
        <w:rPr>
          <w:b/>
        </w:rPr>
        <w:t>Ellinor Pelz</w:t>
      </w:r>
      <w:r>
        <w:t xml:space="preserve"> </w:t>
      </w:r>
      <w:r w:rsidRPr="00AE0E12">
        <w:t>(Monash</w:t>
      </w:r>
      <w:r>
        <w:t xml:space="preserve"> University, Australia</w:t>
      </w:r>
      <w:r w:rsidRPr="00AE0E12">
        <w:t>)</w:t>
      </w:r>
      <w:r>
        <w:br/>
      </w:r>
      <w:r w:rsidRPr="00992B72">
        <w:rPr>
          <w:i/>
          <w:noProof/>
        </w:rPr>
        <w:t>The Gaze is Pervasively Gendered</w:t>
      </w:r>
    </w:p>
    <w:p w:rsidR="00622541" w:rsidRPr="00622541" w:rsidRDefault="00622541" w:rsidP="00622541">
      <w:pPr>
        <w:rPr>
          <w:sz w:val="20"/>
          <w:szCs w:val="20"/>
        </w:rPr>
      </w:pPr>
      <w:r w:rsidRPr="00622541">
        <w:rPr>
          <w:noProof/>
          <w:sz w:val="20"/>
          <w:szCs w:val="20"/>
        </w:rPr>
        <w:t xml:space="preserve">Patriarchal and misogynist behaviour is constructed by an omnipresent gendered gaze within society. This bias is both consciously and subconsciously demonstrated in various forms of visual media to render the woman as inferior. These unjust and sexist practices structure a hierarchy of representation in which the male dominates to form detrimental ideologies about women. This is further problematised by the essentialist presumptions it makes about sexes and genders. In this study, by critiquing contemporary and traditional modes of art and design using theories by feminist scholars Nicole Kalms and Laura Mulvey and artworks such as Barbara Kruger’s </w:t>
      </w:r>
      <w:r w:rsidRPr="00622541">
        <w:rPr>
          <w:i/>
          <w:noProof/>
          <w:sz w:val="20"/>
          <w:szCs w:val="20"/>
        </w:rPr>
        <w:t>Untitled (your body is a battleground)</w:t>
      </w:r>
      <w:r w:rsidRPr="00622541">
        <w:rPr>
          <w:noProof/>
          <w:sz w:val="20"/>
          <w:szCs w:val="20"/>
        </w:rPr>
        <w:t>, 1989, I expose this sexist gaze and its damaging implications in wider communities. The need for recognition, critique and action to develop equity for women is presented through an analysis of various artistic contexts. This discourse exposes the unjust, unequal perceptions of women supported by mass media outlets, which encourage the sexualisation and objectification of women.</w:t>
      </w:r>
    </w:p>
    <w:p w:rsidR="00622541" w:rsidRPr="00622541" w:rsidRDefault="00622541" w:rsidP="00622541">
      <w:pPr>
        <w:rPr>
          <w:sz w:val="20"/>
          <w:szCs w:val="20"/>
        </w:rPr>
      </w:pPr>
    </w:p>
    <w:p w:rsidR="00622541" w:rsidRPr="00992B72" w:rsidRDefault="00622541" w:rsidP="00622541">
      <w:r w:rsidRPr="00992B72">
        <w:rPr>
          <w:b/>
          <w:noProof/>
        </w:rPr>
        <w:t>Christian Bethany</w:t>
      </w:r>
      <w:r w:rsidRPr="00992B72">
        <w:rPr>
          <w:b/>
        </w:rPr>
        <w:t xml:space="preserve"> </w:t>
      </w:r>
      <w:r w:rsidRPr="00992B72">
        <w:rPr>
          <w:b/>
          <w:noProof/>
        </w:rPr>
        <w:t>Felix</w:t>
      </w:r>
      <w:r w:rsidRPr="00992B72">
        <w:t xml:space="preserve"> (</w:t>
      </w:r>
      <w:r w:rsidRPr="00992B72">
        <w:rPr>
          <w:noProof/>
        </w:rPr>
        <w:t>Monash University</w:t>
      </w:r>
      <w:r w:rsidRPr="00992B72">
        <w:t xml:space="preserve">, </w:t>
      </w:r>
      <w:r w:rsidRPr="00992B72">
        <w:rPr>
          <w:noProof/>
        </w:rPr>
        <w:t>Malaysia</w:t>
      </w:r>
      <w:r>
        <w:t>)</w:t>
      </w:r>
      <w:r>
        <w:br/>
      </w:r>
      <w:r w:rsidRPr="00992B72">
        <w:rPr>
          <w:i/>
          <w:noProof/>
        </w:rPr>
        <w:t>The Influence of Media Literacy on Democratic Values and Practices: A case study on university students in Bandar Sunway</w:t>
      </w:r>
    </w:p>
    <w:p w:rsidR="00622541" w:rsidRPr="00622541" w:rsidRDefault="00622541" w:rsidP="00622541">
      <w:pPr>
        <w:rPr>
          <w:noProof/>
          <w:sz w:val="20"/>
          <w:szCs w:val="20"/>
        </w:rPr>
      </w:pPr>
      <w:r w:rsidRPr="00622541">
        <w:rPr>
          <w:noProof/>
          <w:sz w:val="20"/>
          <w:szCs w:val="20"/>
        </w:rPr>
        <w:t>Engagement with the media is a significant and valuable ability. It is a useful tool to citizens, especially those in Malaysia – a country with restrictive laws and high levels of censorship imposed, particularly in traditional media, often called a ‘pseudo-democracy’ by political scientists.</w:t>
      </w:r>
    </w:p>
    <w:p w:rsidR="00622541" w:rsidRPr="00622541" w:rsidRDefault="00622541" w:rsidP="00622541">
      <w:pPr>
        <w:rPr>
          <w:noProof/>
          <w:sz w:val="20"/>
          <w:szCs w:val="20"/>
        </w:rPr>
      </w:pPr>
      <w:r w:rsidRPr="00622541">
        <w:rPr>
          <w:noProof/>
          <w:sz w:val="20"/>
          <w:szCs w:val="20"/>
        </w:rPr>
        <w:t>This research aims to investigate the relationship between media literacy and democratic values and practices in Malaysian university students drawing from the experiences of university students in Bandar Sunway.</w:t>
      </w:r>
    </w:p>
    <w:p w:rsidR="00622541" w:rsidRPr="00622541" w:rsidRDefault="00622541" w:rsidP="00622541">
      <w:pPr>
        <w:rPr>
          <w:noProof/>
          <w:sz w:val="20"/>
          <w:szCs w:val="20"/>
        </w:rPr>
      </w:pPr>
      <w:r w:rsidRPr="00622541">
        <w:rPr>
          <w:noProof/>
          <w:sz w:val="20"/>
          <w:szCs w:val="20"/>
        </w:rPr>
        <w:t>Media literacy, for the purposes of this research, is defined as the ability to critically analyse and evaluate the media in one’s life, have awareness surrounding how media may be used to shape society and public opinion, and distinguish misinformation and biases that exist within media, among other important skills. Here, democratic values are defined as (including, but not limited to) seeking equality, freedom of choice and diversity, while democratic practices are defined as exercising these values through daily decisions, as well as through participating in and engaging with politics.</w:t>
      </w:r>
    </w:p>
    <w:p w:rsidR="00622541" w:rsidRPr="00622541" w:rsidRDefault="00622541" w:rsidP="00622541">
      <w:pPr>
        <w:rPr>
          <w:sz w:val="20"/>
          <w:szCs w:val="20"/>
        </w:rPr>
      </w:pPr>
      <w:r w:rsidRPr="00622541">
        <w:rPr>
          <w:noProof/>
          <w:sz w:val="20"/>
          <w:szCs w:val="20"/>
        </w:rPr>
        <w:t>Through a combination of quantitative and qualitative data obtained from self-completion questionnaires and in-depth interviews, this research aims to identify if media literacy – a force for mass distribution of information and awareness – leads to adopting democratic values and exercising democratic practices. This research will also draw from relevant academic literature to provide sufficient background information and insight into the issue.</w:t>
      </w:r>
    </w:p>
    <w:p w:rsidR="00622541" w:rsidRPr="00622541" w:rsidRDefault="00622541" w:rsidP="00622541"/>
    <w:p w:rsidR="002759C1" w:rsidRDefault="002759C1" w:rsidP="002759C1">
      <w:pPr>
        <w:pStyle w:val="Heading1"/>
        <w:jc w:val="center"/>
      </w:pPr>
      <w:bookmarkStart w:id="13" w:name="_Toc501711900"/>
      <w:r>
        <w:t>SESSION 3</w:t>
      </w:r>
      <w:bookmarkEnd w:id="13"/>
    </w:p>
    <w:p w:rsidR="002759C1" w:rsidRPr="008F0D2E" w:rsidRDefault="002759C1" w:rsidP="00DD7B70"/>
    <w:p w:rsidR="00E549C4" w:rsidRPr="008F0D2E" w:rsidRDefault="00E549C4" w:rsidP="002759C1">
      <w:pPr>
        <w:pStyle w:val="Heading2"/>
      </w:pPr>
      <w:bookmarkStart w:id="14" w:name="_Toc501711901"/>
      <w:r w:rsidRPr="008F0D2E">
        <w:lastRenderedPageBreak/>
        <w:t xml:space="preserve">Session 3A (Monash </w:t>
      </w:r>
      <w:r w:rsidR="006F0F3D">
        <w:t xml:space="preserve">University </w:t>
      </w:r>
      <w:r w:rsidRPr="008F0D2E">
        <w:t xml:space="preserve">Australia, Kyushu </w:t>
      </w:r>
      <w:r w:rsidR="006F0F3D">
        <w:t xml:space="preserve">University Japan </w:t>
      </w:r>
      <w:r w:rsidRPr="008F0D2E">
        <w:t>&amp; N</w:t>
      </w:r>
      <w:r w:rsidR="006F0F3D">
        <w:t xml:space="preserve">anyang </w:t>
      </w:r>
      <w:r w:rsidRPr="008F0D2E">
        <w:t>T</w:t>
      </w:r>
      <w:r w:rsidR="006F0F3D">
        <w:t xml:space="preserve">echnological </w:t>
      </w:r>
      <w:r w:rsidRPr="008F0D2E">
        <w:t>U</w:t>
      </w:r>
      <w:r w:rsidR="006F0F3D">
        <w:t>niversity, Singapore</w:t>
      </w:r>
      <w:r w:rsidRPr="008F0D2E">
        <w:t>)</w:t>
      </w:r>
      <w:bookmarkEnd w:id="14"/>
      <w:r w:rsidRPr="008F0D2E">
        <w:t xml:space="preserve"> </w:t>
      </w:r>
    </w:p>
    <w:p w:rsidR="00E549C4" w:rsidRPr="002759C1" w:rsidRDefault="00AE0E12" w:rsidP="00DD7B70">
      <w:pPr>
        <w:rPr>
          <w:rStyle w:val="SubtleEmphasis"/>
        </w:rPr>
      </w:pPr>
      <w:r w:rsidRPr="002759C1">
        <w:rPr>
          <w:rStyle w:val="SubtleEmphasis"/>
        </w:rPr>
        <w:t xml:space="preserve">Theme: </w:t>
      </w:r>
      <w:r w:rsidR="00F53489">
        <w:rPr>
          <w:rStyle w:val="SubtleEmphasis"/>
        </w:rPr>
        <w:t>Gender and Identity</w:t>
      </w:r>
      <w:r w:rsidR="0027233B" w:rsidRPr="002759C1">
        <w:rPr>
          <w:rStyle w:val="SubtleEmphasis"/>
        </w:rPr>
        <w:t xml:space="preserve"> </w:t>
      </w:r>
    </w:p>
    <w:p w:rsidR="002759C1" w:rsidRDefault="002759C1" w:rsidP="00DD7B70">
      <w:pPr>
        <w:rPr>
          <w:b/>
        </w:rPr>
      </w:pPr>
    </w:p>
    <w:p w:rsidR="00F53489" w:rsidRPr="00992B72" w:rsidRDefault="00F53489" w:rsidP="00F53489">
      <w:r w:rsidRPr="00F53489">
        <w:rPr>
          <w:b/>
        </w:rPr>
        <w:t xml:space="preserve">Madeleine Clark </w:t>
      </w:r>
      <w:r w:rsidR="0027233B" w:rsidRPr="00AE0E12">
        <w:t>(Monash</w:t>
      </w:r>
      <w:r w:rsidR="00AE0E12">
        <w:t xml:space="preserve"> University, Australia</w:t>
      </w:r>
      <w:r w:rsidR="0027233B" w:rsidRPr="00AE0E12">
        <w:t xml:space="preserve">) </w:t>
      </w:r>
      <w:r w:rsidR="00AE0E12">
        <w:br/>
      </w:r>
      <w:r w:rsidRPr="00992B72">
        <w:rPr>
          <w:i/>
          <w:noProof/>
        </w:rPr>
        <w:t>Radicals, Rebels and Re-Imaginings: Finding a queer aesthetic of art</w:t>
      </w:r>
    </w:p>
    <w:p w:rsidR="00F53489" w:rsidRPr="00F53489" w:rsidRDefault="00F53489" w:rsidP="00F53489">
      <w:pPr>
        <w:rPr>
          <w:sz w:val="20"/>
          <w:szCs w:val="20"/>
        </w:rPr>
      </w:pPr>
      <w:r w:rsidRPr="00F53489">
        <w:rPr>
          <w:noProof/>
          <w:sz w:val="20"/>
          <w:szCs w:val="20"/>
        </w:rPr>
        <w:t>Throughout the history of art, various movements and criticisms have prioritised the aesthetic judgments and cultural reflections of specific social classes and groups over others. It is only recently that art scholarship, theory and making has overtly engaged with LGBTQI peoples. This research will explore the development and emergence of specifically ‘queer’ modes of seeing art, asking questions such as: how are modes of reading and understanding art determined by our cultural and social identities? And how does this positioning of identity impact which artists and artworks are valued as cultural artefacts and artistic achievements? This research will use both art historical narratives, and philosophical interpretations of aesthetics, to investigate the possibility of a so-called ‘queer aesthetic’, and evaluate the potential for specifically queer philosophies of art to emerge.</w:t>
      </w:r>
    </w:p>
    <w:p w:rsidR="00AE0E12" w:rsidRPr="00AE0E12" w:rsidRDefault="00AE0E12" w:rsidP="00F53489"/>
    <w:p w:rsidR="000B62AA" w:rsidRPr="00992B72" w:rsidRDefault="000B62AA" w:rsidP="000B62AA">
      <w:pPr>
        <w:rPr>
          <w:i/>
        </w:rPr>
      </w:pPr>
      <w:r w:rsidRPr="00992B72">
        <w:rPr>
          <w:b/>
        </w:rPr>
        <w:t>Chihiro Ban</w:t>
      </w:r>
      <w:r>
        <w:t xml:space="preserve"> (Kyushu University, Japan)</w:t>
      </w:r>
      <w:r>
        <w:br/>
      </w:r>
      <w:r w:rsidRPr="00992B72">
        <w:rPr>
          <w:i/>
        </w:rPr>
        <w:t>A Clash of Tradition and Human Rights at the Hot Spring</w:t>
      </w:r>
    </w:p>
    <w:p w:rsidR="000B62AA" w:rsidRPr="000B62AA" w:rsidRDefault="000B62AA" w:rsidP="000B62AA">
      <w:pPr>
        <w:rPr>
          <w:sz w:val="20"/>
          <w:szCs w:val="20"/>
        </w:rPr>
      </w:pPr>
      <w:r w:rsidRPr="000B62AA">
        <w:rPr>
          <w:sz w:val="20"/>
          <w:szCs w:val="20"/>
        </w:rPr>
        <w:t xml:space="preserve">Have you ever been to a hot spring? In Japan, there is a culture or a custom to bathe in a hot spring for a long time to promote our health. Unfortunately, as globalisation spreads and more tourists visit Japan, Japanese hot springs are suffering some problems. For example, people with tattoos are not allowed to dip into the hot spring in some places due to Japanese traditional rules. Another problem is that LGBT people are not sure which hot spring they can enter because there is a rigid divide between female and male, each being required to visit their designated facilities. This raises a fundamental conflict between traditional values and human rights. My research will explore the various aspects of this conflict. To do this, I will take several measures. Firstly, I will compare the cultures surrounding bathing in hot springs in Japan and the rest of the world, especially from the viewpoint of gender issues. The aim is to clarify the various perceptions, and to understand the essential difficulties in accepting new ideas, with respect to human rights. </w:t>
      </w:r>
    </w:p>
    <w:p w:rsidR="000B62AA" w:rsidRPr="00AE0E12" w:rsidRDefault="000B62AA" w:rsidP="00DD7B70"/>
    <w:p w:rsidR="000B62AA" w:rsidRPr="00992B72" w:rsidRDefault="000B62AA" w:rsidP="000B62AA">
      <w:r w:rsidRPr="00992B72">
        <w:rPr>
          <w:b/>
          <w:noProof/>
        </w:rPr>
        <w:t>Alysia Lim</w:t>
      </w:r>
      <w:r w:rsidRPr="00992B72">
        <w:rPr>
          <w:b/>
        </w:rPr>
        <w:t xml:space="preserve"> </w:t>
      </w:r>
      <w:r w:rsidRPr="00992B72">
        <w:rPr>
          <w:b/>
          <w:noProof/>
        </w:rPr>
        <w:t>Zhiyan</w:t>
      </w:r>
      <w:r w:rsidRPr="00992B72">
        <w:t xml:space="preserve"> </w:t>
      </w:r>
      <w:r w:rsidR="0027233B" w:rsidRPr="00AE0E12">
        <w:t>(N</w:t>
      </w:r>
      <w:r w:rsidR="00AE0E12">
        <w:t>anyang Technological University, Singapore</w:t>
      </w:r>
      <w:r w:rsidR="001B066D" w:rsidRPr="00AE0E12">
        <w:t xml:space="preserve">) </w:t>
      </w:r>
      <w:r w:rsidR="0007031B">
        <w:br/>
      </w:r>
      <w:r w:rsidRPr="00992B72">
        <w:rPr>
          <w:i/>
          <w:noProof/>
        </w:rPr>
        <w:t>T.S. Eliot’s Poetics of Sexual Identity and Time</w:t>
      </w:r>
    </w:p>
    <w:p w:rsidR="000B62AA" w:rsidRPr="000B62AA" w:rsidRDefault="000B62AA" w:rsidP="000B62AA">
      <w:pPr>
        <w:rPr>
          <w:noProof/>
          <w:sz w:val="20"/>
          <w:szCs w:val="20"/>
        </w:rPr>
      </w:pPr>
      <w:r w:rsidRPr="000B62AA">
        <w:rPr>
          <w:noProof/>
          <w:sz w:val="20"/>
          <w:szCs w:val="20"/>
        </w:rPr>
        <w:t xml:space="preserve">This research paper aims to bridge the gap in research on Eliot’s poetics of sexual identity and time. While theorists and critics have noted Eliot’s misogyny and the suggestion of homosexuality in his works, little has been said about their relationship with his modernist perspective of time. This paper posits that a number of Eliot’s critical essays and poems are failed attempts to realise the Bergsonian ideal of attaining pure duration. His failure in attaining pure duration, or in his own terms, the ‘historical sense’, is seen through his use of inconsistent, often slippery and unstable metaphors such as ‘ideal’ monuments, sulphuric acid and failed love affairs, which are transgressive according to heteronormative standards. The works examined in this paper include three of Eliot’s poems, </w:t>
      </w:r>
      <w:r w:rsidRPr="000B62AA">
        <w:rPr>
          <w:i/>
          <w:noProof/>
          <w:sz w:val="20"/>
          <w:szCs w:val="20"/>
        </w:rPr>
        <w:t>Rhapsody on a Windy Night</w:t>
      </w:r>
      <w:r w:rsidRPr="000B62AA">
        <w:rPr>
          <w:noProof/>
          <w:sz w:val="20"/>
          <w:szCs w:val="20"/>
        </w:rPr>
        <w:t xml:space="preserve"> (1917), </w:t>
      </w:r>
      <w:r w:rsidRPr="000B62AA">
        <w:rPr>
          <w:i/>
          <w:noProof/>
          <w:sz w:val="20"/>
          <w:szCs w:val="20"/>
        </w:rPr>
        <w:t>Gerontion</w:t>
      </w:r>
      <w:r w:rsidRPr="000B62AA">
        <w:rPr>
          <w:noProof/>
          <w:sz w:val="20"/>
          <w:szCs w:val="20"/>
        </w:rPr>
        <w:t xml:space="preserve"> (1920), and </w:t>
      </w:r>
      <w:r w:rsidRPr="000B62AA">
        <w:rPr>
          <w:i/>
          <w:noProof/>
          <w:sz w:val="20"/>
          <w:szCs w:val="20"/>
        </w:rPr>
        <w:t>The Waste Land</w:t>
      </w:r>
      <w:r w:rsidRPr="000B62AA">
        <w:rPr>
          <w:noProof/>
          <w:sz w:val="20"/>
          <w:szCs w:val="20"/>
        </w:rPr>
        <w:t xml:space="preserve"> (1922), as well as two of his critical works, ‘Tradition and the Individual Talent’ (1919) and ‘Reflections on Contemporary Poetry’ (1919). This work comprises a brief overview of Bergson’s philosophy and his impact on Eliot, a deconstructive reading of Tradition, as well as a close reading of the portrayal of sex and sexual identity in Reflections and Eliot’s selected poems.</w:t>
      </w:r>
    </w:p>
    <w:p w:rsidR="0027233B" w:rsidRPr="008F0D2E" w:rsidRDefault="0027233B" w:rsidP="000B62AA"/>
    <w:p w:rsidR="00E549C4" w:rsidRPr="008F0D2E" w:rsidRDefault="00E549C4" w:rsidP="002759C1">
      <w:pPr>
        <w:pStyle w:val="Heading2"/>
      </w:pPr>
      <w:bookmarkStart w:id="15" w:name="_Toc501711902"/>
      <w:r w:rsidRPr="008F0D2E">
        <w:lastRenderedPageBreak/>
        <w:t>Session 3B (Monash</w:t>
      </w:r>
      <w:r w:rsidR="0007031B">
        <w:t xml:space="preserve"> University,</w:t>
      </w:r>
      <w:r w:rsidRPr="008F0D2E">
        <w:t xml:space="preserve"> Australia &amp; Monash</w:t>
      </w:r>
      <w:r w:rsidR="0007031B">
        <w:t xml:space="preserve"> University,</w:t>
      </w:r>
      <w:r w:rsidRPr="008F0D2E">
        <w:t xml:space="preserve"> Malaysia)</w:t>
      </w:r>
      <w:bookmarkEnd w:id="15"/>
      <w:r w:rsidRPr="008F0D2E">
        <w:t xml:space="preserve"> </w:t>
      </w:r>
    </w:p>
    <w:p w:rsidR="00E549C4" w:rsidRPr="002759C1" w:rsidRDefault="00AE0E12" w:rsidP="00DD7B70">
      <w:pPr>
        <w:rPr>
          <w:rStyle w:val="SubtleEmphasis"/>
        </w:rPr>
      </w:pPr>
      <w:r w:rsidRPr="002759C1">
        <w:rPr>
          <w:rStyle w:val="SubtleEmphasis"/>
        </w:rPr>
        <w:t xml:space="preserve">Theme: </w:t>
      </w:r>
      <w:r w:rsidR="000B62AA" w:rsidRPr="000B62AA">
        <w:rPr>
          <w:rStyle w:val="SubtleEmphasis"/>
        </w:rPr>
        <w:t>Improving Education</w:t>
      </w:r>
    </w:p>
    <w:p w:rsidR="000B62AA" w:rsidRPr="00992B72" w:rsidRDefault="002759C1" w:rsidP="000B62AA">
      <w:r>
        <w:rPr>
          <w:b/>
        </w:rPr>
        <w:br/>
      </w:r>
      <w:r w:rsidR="000B62AA">
        <w:rPr>
          <w:b/>
        </w:rPr>
        <w:t>Alice Kim</w:t>
      </w:r>
      <w:r w:rsidR="000B62AA" w:rsidRPr="000B62AA">
        <w:rPr>
          <w:b/>
        </w:rPr>
        <w:t xml:space="preserve"> </w:t>
      </w:r>
      <w:r w:rsidR="0007031B">
        <w:t xml:space="preserve">(Monash University, Australia) </w:t>
      </w:r>
      <w:r w:rsidR="00B91C5E">
        <w:br/>
      </w:r>
      <w:r w:rsidR="000B62AA" w:rsidRPr="00992B72">
        <w:rPr>
          <w:i/>
          <w:noProof/>
        </w:rPr>
        <w:t>Evaluation of the Current Teaching Practices and Approaches to Teaching in the School of Biomedical Sciences at Monash University</w:t>
      </w:r>
    </w:p>
    <w:p w:rsidR="000B62AA" w:rsidRPr="000B62AA" w:rsidRDefault="000B62AA" w:rsidP="000B62AA">
      <w:pPr>
        <w:rPr>
          <w:sz w:val="20"/>
          <w:szCs w:val="20"/>
        </w:rPr>
      </w:pPr>
      <w:r w:rsidRPr="000B62AA">
        <w:rPr>
          <w:noProof/>
          <w:sz w:val="20"/>
          <w:szCs w:val="20"/>
        </w:rPr>
        <w:t>The traditional teaching style in higher education is lecturer-focused. However, the current literature states that student learning improves when they are active players in the process, triggering implementation of active learning within the curriculum. In accordance with this, Monash University has introduced the Better Teaching Better Learning agenda to deliver a more student-centred learning experience. However, its implementation has been inconsistent in the teaching practices of the School of Biomedical Sciences. Interviews and a survey were conducted to evaluate the current teaching practices of the school’s academics in their lectures, identify any barriers preventing them from implementing active learning in their teaching and identify possible strategies to overcome said barriers. Survey data was coded and quantitatively analysed using two-tailed t-tests. Interview transcripts were qualitatively analysed using thematic analysis. The school’s two main teaching groups use a variety of teaching styles in lectures, with education-focused academics employing more active learning practices in their pedagogy. Many academics were in the process of changing their teaching style, mainly to improve the overall student learning experience. However, complex barriers prevent them from doing so. Possible strategies were identified that would help academics adopt a more student-centred teaching style and align with Monash’s BTBL agenda.</w:t>
      </w:r>
    </w:p>
    <w:p w:rsidR="00B91C5E" w:rsidRPr="00F43146" w:rsidRDefault="00B91C5E" w:rsidP="000B62AA"/>
    <w:p w:rsidR="000B62AA" w:rsidRPr="00992B72" w:rsidRDefault="000B62AA" w:rsidP="000B62AA">
      <w:r w:rsidRPr="000B62AA">
        <w:rPr>
          <w:b/>
        </w:rPr>
        <w:t xml:space="preserve">Monisha Iswaran </w:t>
      </w:r>
      <w:r w:rsidR="00F43146">
        <w:t>(Monash University, Australia)</w:t>
      </w:r>
      <w:r w:rsidR="00B91C5E">
        <w:br/>
      </w:r>
      <w:r w:rsidRPr="00992B72">
        <w:rPr>
          <w:i/>
          <w:noProof/>
        </w:rPr>
        <w:t>Michael Chekhov Actor Training Method: How Chekhov’s techniques can be used across a variety of artistic disciplines and beyond</w:t>
      </w:r>
    </w:p>
    <w:p w:rsidR="000B62AA" w:rsidRPr="000B62AA" w:rsidRDefault="000B62AA" w:rsidP="000B62AA">
      <w:pPr>
        <w:rPr>
          <w:sz w:val="20"/>
          <w:szCs w:val="20"/>
        </w:rPr>
      </w:pPr>
      <w:r w:rsidRPr="000B62AA">
        <w:rPr>
          <w:noProof/>
          <w:sz w:val="20"/>
          <w:szCs w:val="20"/>
        </w:rPr>
        <w:t>The Michael Chekhov technique is one of the most popular acting methods taught to theatre students in training, but it can in fact be beneficial to artists of different disciplines of performance – actors, dancers, singers and performance artists. Through observing and interviewing students, and experimenting with them using the Michael Chekhov acting techniques – such as the archetypal psychological gestures – this project investigates how such practices can be adapted to benefit practitioners of these four different artistic disciplines. A literature review of all sources regarding the effective qualities of the technique was conducted and analysed to deduce how this can apply beyond just actor training. Ultimately, as finding one’s own physical and emotional ‘truth’ is the end goal of the training method, I explore how this could progress beyond just artistic disciplines and be a useful experience even for those in unrelated fields for the development of confidence and other desirable qualities.</w:t>
      </w:r>
    </w:p>
    <w:p w:rsidR="00F43146" w:rsidRPr="00F43146" w:rsidRDefault="00F43146" w:rsidP="000B62AA"/>
    <w:p w:rsidR="00C31506" w:rsidRPr="00992B72" w:rsidRDefault="00C31506" w:rsidP="00C31506">
      <w:r w:rsidRPr="00992B72">
        <w:rPr>
          <w:b/>
          <w:noProof/>
        </w:rPr>
        <w:t>Pei Ying</w:t>
      </w:r>
      <w:r w:rsidRPr="00992B72">
        <w:rPr>
          <w:b/>
        </w:rPr>
        <w:t xml:space="preserve"> </w:t>
      </w:r>
      <w:r w:rsidRPr="00992B72">
        <w:rPr>
          <w:b/>
          <w:noProof/>
        </w:rPr>
        <w:t>Kew</w:t>
      </w:r>
      <w:r w:rsidRPr="00992B72">
        <w:t xml:space="preserve"> (</w:t>
      </w:r>
      <w:r w:rsidRPr="00992B72">
        <w:rPr>
          <w:noProof/>
        </w:rPr>
        <w:t>Monash University</w:t>
      </w:r>
      <w:r w:rsidRPr="00992B72">
        <w:t xml:space="preserve">, </w:t>
      </w:r>
      <w:r w:rsidRPr="00992B72">
        <w:rPr>
          <w:noProof/>
        </w:rPr>
        <w:t>Malaysia</w:t>
      </w:r>
      <w:r>
        <w:t>)</w:t>
      </w:r>
      <w:r>
        <w:br/>
      </w:r>
      <w:r w:rsidRPr="00992B72">
        <w:rPr>
          <w:i/>
          <w:noProof/>
        </w:rPr>
        <w:t>Developing and Validating a Questionnaire for Measuring Motivation to Learn Among Medical Students</w:t>
      </w:r>
    </w:p>
    <w:p w:rsidR="00C31506" w:rsidRPr="00C31506" w:rsidRDefault="00C31506" w:rsidP="00C31506">
      <w:pPr>
        <w:rPr>
          <w:noProof/>
          <w:sz w:val="20"/>
          <w:szCs w:val="20"/>
        </w:rPr>
      </w:pPr>
      <w:r w:rsidRPr="00C31506">
        <w:rPr>
          <w:noProof/>
          <w:sz w:val="20"/>
          <w:szCs w:val="20"/>
        </w:rPr>
        <w:t>Background</w:t>
      </w:r>
    </w:p>
    <w:p w:rsidR="00C31506" w:rsidRPr="00C31506" w:rsidRDefault="00C31506" w:rsidP="00C31506">
      <w:pPr>
        <w:rPr>
          <w:noProof/>
          <w:sz w:val="20"/>
          <w:szCs w:val="20"/>
        </w:rPr>
      </w:pPr>
      <w:r w:rsidRPr="00C31506">
        <w:rPr>
          <w:noProof/>
          <w:sz w:val="20"/>
          <w:szCs w:val="20"/>
        </w:rPr>
        <w:t>Educators strive to use novel methods to motivate students to read and learn more. However, since there is no method of measuring motivation, it is impossible for educators to know whether their methods are working.</w:t>
      </w:r>
    </w:p>
    <w:p w:rsidR="00C31506" w:rsidRPr="00C31506" w:rsidRDefault="00C31506" w:rsidP="00C31506">
      <w:pPr>
        <w:rPr>
          <w:noProof/>
          <w:sz w:val="20"/>
          <w:szCs w:val="20"/>
        </w:rPr>
      </w:pPr>
      <w:r w:rsidRPr="00C31506">
        <w:rPr>
          <w:noProof/>
          <w:sz w:val="20"/>
          <w:szCs w:val="20"/>
        </w:rPr>
        <w:t>Objectives</w:t>
      </w:r>
    </w:p>
    <w:p w:rsidR="00C31506" w:rsidRPr="00C31506" w:rsidRDefault="00C31506" w:rsidP="00C31506">
      <w:pPr>
        <w:rPr>
          <w:noProof/>
          <w:sz w:val="20"/>
          <w:szCs w:val="20"/>
        </w:rPr>
      </w:pPr>
      <w:r w:rsidRPr="00C31506">
        <w:rPr>
          <w:noProof/>
          <w:sz w:val="20"/>
          <w:szCs w:val="20"/>
        </w:rPr>
        <w:t>Our aim is to find a way to measure motivation to learn. Specifically, this project intends to develop and validate a questionnaire to measure motivation to learn among medical students.</w:t>
      </w:r>
    </w:p>
    <w:p w:rsidR="00C31506" w:rsidRPr="00C31506" w:rsidRDefault="00C31506" w:rsidP="00C31506">
      <w:pPr>
        <w:rPr>
          <w:noProof/>
          <w:sz w:val="20"/>
          <w:szCs w:val="20"/>
        </w:rPr>
      </w:pPr>
      <w:r w:rsidRPr="00C31506">
        <w:rPr>
          <w:noProof/>
          <w:sz w:val="20"/>
          <w:szCs w:val="20"/>
        </w:rPr>
        <w:lastRenderedPageBreak/>
        <w:t>Methods</w:t>
      </w:r>
    </w:p>
    <w:p w:rsidR="00C31506" w:rsidRPr="00C31506" w:rsidRDefault="00C31506" w:rsidP="00C31506">
      <w:pPr>
        <w:rPr>
          <w:noProof/>
          <w:sz w:val="20"/>
          <w:szCs w:val="20"/>
        </w:rPr>
      </w:pPr>
      <w:r w:rsidRPr="00C31506">
        <w:rPr>
          <w:noProof/>
          <w:sz w:val="20"/>
          <w:szCs w:val="20"/>
        </w:rPr>
        <w:t>Through a thorough literature review, 48 factors were identified that could motivate students to learn. A questionnaire was developed using these identified factors. This was then vetted by senior educators (‘Delphi’ method). A pilot run (n = 21) was carried out, and the questionnaire was modified per the feedback. We planned to administer this questionnaire to at least 200 of the 400 students in our institution, and then validate it.</w:t>
      </w:r>
    </w:p>
    <w:p w:rsidR="00C31506" w:rsidRPr="00C31506" w:rsidRDefault="00C31506" w:rsidP="00C31506">
      <w:pPr>
        <w:rPr>
          <w:noProof/>
          <w:sz w:val="20"/>
          <w:szCs w:val="20"/>
        </w:rPr>
      </w:pPr>
      <w:r w:rsidRPr="00C31506">
        <w:rPr>
          <w:noProof/>
          <w:sz w:val="20"/>
          <w:szCs w:val="20"/>
        </w:rPr>
        <w:t>Results</w:t>
      </w:r>
    </w:p>
    <w:p w:rsidR="00C31506" w:rsidRPr="00C31506" w:rsidRDefault="00C31506" w:rsidP="00C31506">
      <w:pPr>
        <w:rPr>
          <w:noProof/>
          <w:sz w:val="20"/>
          <w:szCs w:val="20"/>
        </w:rPr>
      </w:pPr>
      <w:r w:rsidRPr="00C31506">
        <w:rPr>
          <w:noProof/>
          <w:sz w:val="20"/>
          <w:szCs w:val="20"/>
        </w:rPr>
        <w:t>Presently, the questionnaire has been administered to 84 students. The Kaiser-Meyer-Olkin measure of sampling adequacy is 0.534 (barely acceptable for Factor Analysis). Bartlett’s test (chi-squared = 2343.8 at 1128 df, p&lt;0.001) indicates that Factor Analysis is likely to be useful. Cronbach’s alpha is 0.876, suggesting that the questionnaire is a highly reliable instrument with internal consistency. Principal component analysis (varimax rotation) indicates that the 48 questions can be reduced to 15 components. These will be discussed.</w:t>
      </w:r>
    </w:p>
    <w:p w:rsidR="00C31506" w:rsidRPr="00C31506" w:rsidRDefault="00C31506" w:rsidP="00C31506">
      <w:pPr>
        <w:rPr>
          <w:noProof/>
          <w:sz w:val="20"/>
          <w:szCs w:val="20"/>
        </w:rPr>
      </w:pPr>
      <w:r w:rsidRPr="00C31506">
        <w:rPr>
          <w:noProof/>
          <w:sz w:val="20"/>
          <w:szCs w:val="20"/>
        </w:rPr>
        <w:t>Conclusion</w:t>
      </w:r>
    </w:p>
    <w:p w:rsidR="00C31506" w:rsidRPr="00C31506" w:rsidRDefault="00C31506" w:rsidP="00C31506">
      <w:pPr>
        <w:rPr>
          <w:sz w:val="20"/>
          <w:szCs w:val="20"/>
        </w:rPr>
      </w:pPr>
      <w:r w:rsidRPr="00C31506">
        <w:rPr>
          <w:noProof/>
          <w:sz w:val="20"/>
          <w:szCs w:val="20"/>
        </w:rPr>
        <w:t>A questionnaire has been created, using items derived from published literature. About a third of the required number of samples have been collected. Initial results indicate that a questionnaire of about 15 components will be adequate.</w:t>
      </w:r>
    </w:p>
    <w:p w:rsidR="002759C1" w:rsidRPr="00F43146" w:rsidRDefault="002759C1" w:rsidP="00C31506"/>
    <w:p w:rsidR="00C31506" w:rsidRPr="00992B72" w:rsidRDefault="00C31506" w:rsidP="00C31506">
      <w:r w:rsidRPr="00992B72">
        <w:rPr>
          <w:b/>
          <w:noProof/>
        </w:rPr>
        <w:t>Jin Yun</w:t>
      </w:r>
      <w:r w:rsidRPr="00992B72">
        <w:rPr>
          <w:b/>
        </w:rPr>
        <w:t xml:space="preserve"> </w:t>
      </w:r>
      <w:r w:rsidRPr="00992B72">
        <w:rPr>
          <w:b/>
          <w:noProof/>
        </w:rPr>
        <w:t>Gan</w:t>
      </w:r>
      <w:r w:rsidRPr="00992B72">
        <w:t xml:space="preserve"> (</w:t>
      </w:r>
      <w:r w:rsidRPr="00992B72">
        <w:rPr>
          <w:noProof/>
        </w:rPr>
        <w:t>Monash University</w:t>
      </w:r>
      <w:r w:rsidRPr="00992B72">
        <w:t xml:space="preserve">, </w:t>
      </w:r>
      <w:r w:rsidRPr="00992B72">
        <w:rPr>
          <w:noProof/>
        </w:rPr>
        <w:t>Malaysia</w:t>
      </w:r>
      <w:r>
        <w:t>)</w:t>
      </w:r>
      <w:r>
        <w:br/>
      </w:r>
      <w:r w:rsidRPr="00992B72">
        <w:rPr>
          <w:i/>
          <w:noProof/>
        </w:rPr>
        <w:t>Classroom Quizzes: Can they help motivate students to learn?</w:t>
      </w:r>
    </w:p>
    <w:p w:rsidR="00C31506" w:rsidRPr="00C31506" w:rsidRDefault="00C31506" w:rsidP="00C31506">
      <w:pPr>
        <w:rPr>
          <w:noProof/>
          <w:sz w:val="20"/>
          <w:szCs w:val="20"/>
        </w:rPr>
      </w:pPr>
      <w:r w:rsidRPr="00C31506">
        <w:rPr>
          <w:noProof/>
          <w:sz w:val="20"/>
          <w:szCs w:val="20"/>
        </w:rPr>
        <w:t>Background</w:t>
      </w:r>
    </w:p>
    <w:p w:rsidR="00C31506" w:rsidRPr="00C31506" w:rsidRDefault="00C31506" w:rsidP="00C31506">
      <w:pPr>
        <w:rPr>
          <w:noProof/>
          <w:sz w:val="20"/>
          <w:szCs w:val="20"/>
        </w:rPr>
      </w:pPr>
      <w:r w:rsidRPr="00C31506">
        <w:rPr>
          <w:noProof/>
          <w:sz w:val="20"/>
          <w:szCs w:val="20"/>
        </w:rPr>
        <w:t>There is no study that reports the use of quizzes to motivate medical students to read more. For the last three years, we have administered quizzes to students, and have asked for feedback from the students. This paper reviews our experience.</w:t>
      </w:r>
    </w:p>
    <w:p w:rsidR="00C31506" w:rsidRPr="00C31506" w:rsidRDefault="00C31506" w:rsidP="00C31506">
      <w:pPr>
        <w:rPr>
          <w:noProof/>
          <w:sz w:val="20"/>
          <w:szCs w:val="20"/>
        </w:rPr>
      </w:pPr>
      <w:r w:rsidRPr="00C31506">
        <w:rPr>
          <w:noProof/>
          <w:sz w:val="20"/>
          <w:szCs w:val="20"/>
        </w:rPr>
        <w:t>Objective</w:t>
      </w:r>
    </w:p>
    <w:p w:rsidR="00C31506" w:rsidRPr="00C31506" w:rsidRDefault="00C31506" w:rsidP="00C31506">
      <w:pPr>
        <w:rPr>
          <w:noProof/>
          <w:sz w:val="20"/>
          <w:szCs w:val="20"/>
        </w:rPr>
      </w:pPr>
      <w:r w:rsidRPr="00C31506">
        <w:rPr>
          <w:noProof/>
          <w:sz w:val="20"/>
          <w:szCs w:val="20"/>
        </w:rPr>
        <w:t>To evaluate the responses by Year 3 medical students on the effectiveness of quizzes assigned at the end of PBL sessions in motivating them to study.</w:t>
      </w:r>
    </w:p>
    <w:p w:rsidR="00C31506" w:rsidRPr="00C31506" w:rsidRDefault="00C31506" w:rsidP="00C31506">
      <w:pPr>
        <w:rPr>
          <w:noProof/>
          <w:sz w:val="20"/>
          <w:szCs w:val="20"/>
        </w:rPr>
      </w:pPr>
      <w:r w:rsidRPr="00C31506">
        <w:rPr>
          <w:noProof/>
          <w:sz w:val="20"/>
          <w:szCs w:val="20"/>
        </w:rPr>
        <w:t>Method</w:t>
      </w:r>
    </w:p>
    <w:p w:rsidR="00C31506" w:rsidRPr="00C31506" w:rsidRDefault="00C31506" w:rsidP="00C31506">
      <w:pPr>
        <w:rPr>
          <w:noProof/>
          <w:sz w:val="20"/>
          <w:szCs w:val="20"/>
        </w:rPr>
      </w:pPr>
      <w:r w:rsidRPr="00C31506">
        <w:rPr>
          <w:noProof/>
          <w:sz w:val="20"/>
          <w:szCs w:val="20"/>
        </w:rPr>
        <w:t>After each PBL session, students were given a reading list based on the session. The following week, they were given a quiz that comprised of topics covered in the reading list. Quizzes were mixtures of MCQ and EMQs. Each quiz was marked after completion and scores were recorded. Additionally, feedback on the quizzes was obtained, on a five-point Likert scale, from the students in the final PBL session for each student group. All student groups received at least four quizzes.</w:t>
      </w:r>
    </w:p>
    <w:p w:rsidR="00C31506" w:rsidRPr="00C31506" w:rsidRDefault="00C31506" w:rsidP="00C31506">
      <w:pPr>
        <w:rPr>
          <w:noProof/>
          <w:sz w:val="20"/>
          <w:szCs w:val="20"/>
        </w:rPr>
      </w:pPr>
      <w:r w:rsidRPr="00C31506">
        <w:rPr>
          <w:noProof/>
          <w:sz w:val="20"/>
          <w:szCs w:val="20"/>
        </w:rPr>
        <w:t>Results</w:t>
      </w:r>
    </w:p>
    <w:p w:rsidR="00C31506" w:rsidRPr="00C31506" w:rsidRDefault="00C31506" w:rsidP="00C31506">
      <w:pPr>
        <w:rPr>
          <w:noProof/>
          <w:sz w:val="20"/>
          <w:szCs w:val="20"/>
        </w:rPr>
      </w:pPr>
      <w:r w:rsidRPr="00C31506">
        <w:rPr>
          <w:noProof/>
          <w:sz w:val="20"/>
          <w:szCs w:val="20"/>
        </w:rPr>
        <w:t>Quizzes were administered to 61 students. Students scored poor marks in the first quiz (mean 13.9% +/- 28.5), but scored significantly more marks in the second (31.6% +/- 26.5, p&lt;0.01). Subsequent quizzes did not improve the marks. During feedback, 72% of students said that the quizzes ‘definitely increased my reading, by a significant amount’. Of the participants involved, 96% believed that quizzes should be continued for future batches of students.</w:t>
      </w:r>
    </w:p>
    <w:p w:rsidR="00C31506" w:rsidRPr="00C31506" w:rsidRDefault="00C31506" w:rsidP="00C31506">
      <w:pPr>
        <w:rPr>
          <w:noProof/>
          <w:sz w:val="20"/>
          <w:szCs w:val="20"/>
        </w:rPr>
      </w:pPr>
      <w:r w:rsidRPr="00C31506">
        <w:rPr>
          <w:noProof/>
          <w:sz w:val="20"/>
          <w:szCs w:val="20"/>
        </w:rPr>
        <w:t>Conclusion</w:t>
      </w:r>
    </w:p>
    <w:p w:rsidR="00C31506" w:rsidRPr="00C31506" w:rsidRDefault="00C31506" w:rsidP="00C31506">
      <w:pPr>
        <w:rPr>
          <w:sz w:val="20"/>
          <w:szCs w:val="20"/>
        </w:rPr>
      </w:pPr>
      <w:r w:rsidRPr="00C31506">
        <w:rPr>
          <w:noProof/>
          <w:sz w:val="20"/>
          <w:szCs w:val="20"/>
        </w:rPr>
        <w:t>Student performance improves dramatically after a quiz. Students themselves believe that quizzes motivate them to read, and prefer quizzes to be used in the classroom.</w:t>
      </w:r>
    </w:p>
    <w:p w:rsidR="002759C1" w:rsidRPr="008F0D2E" w:rsidRDefault="002759C1" w:rsidP="00DD7B70"/>
    <w:p w:rsidR="00E549C4" w:rsidRPr="008F0D2E" w:rsidRDefault="00E549C4" w:rsidP="002759C1">
      <w:pPr>
        <w:pStyle w:val="Heading2"/>
      </w:pPr>
      <w:bookmarkStart w:id="16" w:name="_Toc501711903"/>
      <w:r w:rsidRPr="008F0D2E">
        <w:t xml:space="preserve">Session 3C (Monash </w:t>
      </w:r>
      <w:r w:rsidR="00B91C5E">
        <w:t xml:space="preserve">University, </w:t>
      </w:r>
      <w:r w:rsidRPr="008F0D2E">
        <w:t>Australia &amp; N</w:t>
      </w:r>
      <w:r w:rsidR="00B91C5E">
        <w:t xml:space="preserve">anyang </w:t>
      </w:r>
      <w:r w:rsidRPr="008F0D2E">
        <w:t>T</w:t>
      </w:r>
      <w:r w:rsidR="00B91C5E">
        <w:t xml:space="preserve">echnological </w:t>
      </w:r>
      <w:r w:rsidRPr="008F0D2E">
        <w:t>U</w:t>
      </w:r>
      <w:r w:rsidR="00B91C5E">
        <w:t>niversity, Singapore</w:t>
      </w:r>
      <w:r w:rsidRPr="008F0D2E">
        <w:t>)</w:t>
      </w:r>
      <w:bookmarkEnd w:id="16"/>
      <w:r w:rsidRPr="008F0D2E">
        <w:t xml:space="preserve"> </w:t>
      </w:r>
    </w:p>
    <w:p w:rsidR="002759C1" w:rsidRPr="006F0F3D" w:rsidRDefault="00B91C5E" w:rsidP="00DD7B70">
      <w:pPr>
        <w:rPr>
          <w:i/>
          <w:iCs/>
          <w:color w:val="404040" w:themeColor="text1" w:themeTint="BF"/>
        </w:rPr>
      </w:pPr>
      <w:r w:rsidRPr="002759C1">
        <w:rPr>
          <w:rStyle w:val="SubtleEmphasis"/>
        </w:rPr>
        <w:t xml:space="preserve">Theme: </w:t>
      </w:r>
      <w:r w:rsidR="00C31506" w:rsidRPr="00C31506">
        <w:rPr>
          <w:rStyle w:val="SubtleEmphasis"/>
        </w:rPr>
        <w:t>Fluids in Science</w:t>
      </w:r>
      <w:r w:rsidR="006F0F3D">
        <w:rPr>
          <w:rStyle w:val="SubtleEmphasis"/>
        </w:rPr>
        <w:br/>
      </w:r>
    </w:p>
    <w:p w:rsidR="00C31506" w:rsidRPr="00992B72" w:rsidRDefault="00C31506" w:rsidP="00C31506">
      <w:r w:rsidRPr="00C31506">
        <w:rPr>
          <w:b/>
        </w:rPr>
        <w:t>Shoaib Amjad</w:t>
      </w:r>
      <w:r w:rsidR="0027233B" w:rsidRPr="00B91C5E">
        <w:t xml:space="preserve"> </w:t>
      </w:r>
      <w:r w:rsidR="00B91C5E">
        <w:t xml:space="preserve">(Monash University, Australia) </w:t>
      </w:r>
      <w:r w:rsidR="00435958">
        <w:br/>
      </w:r>
      <w:r w:rsidRPr="00992B72">
        <w:rPr>
          <w:i/>
          <w:noProof/>
        </w:rPr>
        <w:t>Non-Intrusive Three-Dimensional Temperature Field Measurement of a Heated Air Jet Using Tomographic Background-Oriented Schlieren</w:t>
      </w:r>
    </w:p>
    <w:p w:rsidR="00C31506" w:rsidRPr="00C31506" w:rsidRDefault="00C31506" w:rsidP="00C31506">
      <w:pPr>
        <w:rPr>
          <w:sz w:val="20"/>
          <w:szCs w:val="20"/>
        </w:rPr>
      </w:pPr>
      <w:r w:rsidRPr="00C31506">
        <w:rPr>
          <w:noProof/>
          <w:sz w:val="20"/>
          <w:szCs w:val="20"/>
        </w:rPr>
        <w:t>The efficiency of convective heat transfer in fluid flows relies upon the structure of the flow’s three-dimensional temperature and velocity fields. Convective heat transfer plays a dominant role in the cooling of microelectronics and turbine blades, and in industrial spray drying. Traditionally, flow temperature has been determined using single-point probes, yet this method is intrusive and provides little insight into the flow’s temperature structure. This research will experimentally investigate the suitability of a novel non-intrusive imaging technique, tomographic background-oriented schlieren (BOS), for quantifying the three-dimensional temperature field in a ubiquitous heated air jet. Previous experiments, notably by Venkatakrishnan and Meier (2004), have used BOS for finding the two-dimensional fluid density by relating refractive index changes from images of the flow to density. This experiment will extend on previous work in two ways. First, equations-of-state will be used to calculate the flow’s temperature from its density. Second, BOS will then be used to obtain three-dimensional density and temperature fields; this will be done by imaging the flow from multiple concentric angles and using each image’s fields to reconstruct a three-dimensional density and temperature by employing tomographic reconstruction techniques. BOS reconstructions will illustrate flow structures in previously unseen detail, while also demonstrating accurate temperature measurements. The development of tomographic BOS will provide a critical diagnostic tool for assessing the performance of convective heat transfer through visualisation of temperature flow structures, which is essential to improving the suboptimal current generation of industrial cooling systems.</w:t>
      </w:r>
    </w:p>
    <w:p w:rsidR="002759C1" w:rsidRPr="00B91C5E" w:rsidRDefault="002759C1" w:rsidP="00DD7B70"/>
    <w:p w:rsidR="00C31506" w:rsidRPr="00992B72" w:rsidRDefault="00C31506" w:rsidP="00C31506">
      <w:r w:rsidRPr="00992B72">
        <w:rPr>
          <w:b/>
          <w:noProof/>
        </w:rPr>
        <w:t>Dulan</w:t>
      </w:r>
      <w:r w:rsidRPr="00992B72">
        <w:rPr>
          <w:b/>
        </w:rPr>
        <w:t xml:space="preserve"> </w:t>
      </w:r>
      <w:r w:rsidRPr="00992B72">
        <w:rPr>
          <w:b/>
          <w:noProof/>
        </w:rPr>
        <w:t>Dantanarayana</w:t>
      </w:r>
      <w:r w:rsidRPr="00992B72">
        <w:t xml:space="preserve"> </w:t>
      </w:r>
      <w:r w:rsidR="00B91C5E">
        <w:t>(Monash University, Australia)</w:t>
      </w:r>
      <w:r w:rsidR="00435958">
        <w:br/>
      </w:r>
      <w:r w:rsidRPr="00992B72">
        <w:rPr>
          <w:i/>
          <w:noProof/>
        </w:rPr>
        <w:t>Exploring the Soil Arching Mechanism in Piled Embankments Using Finite Element Method and Smoothed Particle Hydrodynamics</w:t>
      </w:r>
    </w:p>
    <w:p w:rsidR="00C31506" w:rsidRPr="00C31506" w:rsidRDefault="00C31506" w:rsidP="00C31506">
      <w:pPr>
        <w:rPr>
          <w:sz w:val="20"/>
          <w:szCs w:val="20"/>
        </w:rPr>
      </w:pPr>
      <w:r w:rsidRPr="00C31506">
        <w:rPr>
          <w:noProof/>
          <w:sz w:val="20"/>
          <w:szCs w:val="20"/>
        </w:rPr>
        <w:t>The significant advantages of using piled embankments on soft soil present an efficient solution for the development of transport infrastructure. However, there is a knowledge gap in the understanding of the soil-arching mechanism underpinning piled embankments. This study was carried out in an attempt to bridge the knowledge gap that exists due to limitations in arching models that have been developed. Numerical models developed using Finite Element Method (FEM) and Smoothed Particle Hydrodynamics (SPH) were used to explore the adequacy of the respective analytical techniques in simulating soil arching. A boundary condition issue in the SPH model resulted in a limited and inconclusive analysis. The FEM model was successfully validated using experimental results and some limitations of finite element analysis in simulating soil arching were explored, including grid-distortion. The need to develop accurate particle-based numerical techniques in order to better understand soil arching in piled embankments was highlighted by this study.</w:t>
      </w:r>
    </w:p>
    <w:p w:rsidR="002759C1" w:rsidRPr="00B91C5E" w:rsidRDefault="002759C1" w:rsidP="00C31506"/>
    <w:p w:rsidR="00C31506" w:rsidRPr="00992B72" w:rsidRDefault="00C31506" w:rsidP="00C31506">
      <w:r w:rsidRPr="00992B72">
        <w:rPr>
          <w:b/>
          <w:noProof/>
        </w:rPr>
        <w:t>Matthew</w:t>
      </w:r>
      <w:r w:rsidRPr="00992B72">
        <w:rPr>
          <w:b/>
        </w:rPr>
        <w:t xml:space="preserve"> </w:t>
      </w:r>
      <w:r w:rsidRPr="00992B72">
        <w:rPr>
          <w:b/>
          <w:noProof/>
        </w:rPr>
        <w:t>Gebert</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Using Cold Atoms as High-Precision Quantum Sensors</w:t>
      </w:r>
    </w:p>
    <w:p w:rsidR="00C31506" w:rsidRPr="00C31506" w:rsidRDefault="00C31506" w:rsidP="00C31506">
      <w:pPr>
        <w:rPr>
          <w:noProof/>
          <w:sz w:val="20"/>
          <w:szCs w:val="20"/>
        </w:rPr>
      </w:pPr>
      <w:r w:rsidRPr="00C31506">
        <w:rPr>
          <w:noProof/>
          <w:sz w:val="20"/>
          <w:szCs w:val="20"/>
        </w:rPr>
        <w:t xml:space="preserve">In the last 25 years, quantum systems have more frequently become observable and creatable. They can offer much greater precision than classical systems for measurements due to three main features. They are quiet, </w:t>
      </w:r>
      <w:r w:rsidRPr="00C31506">
        <w:rPr>
          <w:noProof/>
          <w:sz w:val="20"/>
          <w:szCs w:val="20"/>
        </w:rPr>
        <w:lastRenderedPageBreak/>
        <w:t>they reliably behave in discrete states, and they are limited by a quantum noise floor, which is desirable for precision.</w:t>
      </w:r>
    </w:p>
    <w:p w:rsidR="00C31506" w:rsidRPr="00C31506" w:rsidRDefault="00C31506" w:rsidP="00C31506">
      <w:pPr>
        <w:rPr>
          <w:noProof/>
          <w:sz w:val="20"/>
          <w:szCs w:val="20"/>
        </w:rPr>
      </w:pPr>
      <w:r w:rsidRPr="00C31506">
        <w:rPr>
          <w:noProof/>
          <w:sz w:val="20"/>
          <w:szCs w:val="20"/>
        </w:rPr>
        <w:t>Clouds of really cold atoms (including Bose Einstein condensates) have been useful for measuring magnetic fields. To measure magnetic fields that change quickly, the energy states of an atom can be stretched using a magnetic bias field; a well-studied effect called Zeeman splitting. When the separation of the energy states is significant enough, the atoms become sensitive to particular frequencies of electromagnetic radiation. When measuring slowly changing fields, the atomic dipoles start to act like little bar magnets – spinning around when placed perpendicular to a magnetic field. This is a process called Ramsey interferometry.</w:t>
      </w:r>
    </w:p>
    <w:p w:rsidR="00C31506" w:rsidRPr="00C31506" w:rsidRDefault="00C31506" w:rsidP="00C31506">
      <w:pPr>
        <w:rPr>
          <w:sz w:val="20"/>
          <w:szCs w:val="20"/>
        </w:rPr>
      </w:pPr>
      <w:r w:rsidRPr="00C31506">
        <w:rPr>
          <w:noProof/>
          <w:sz w:val="20"/>
          <w:szCs w:val="20"/>
        </w:rPr>
        <w:t>The rubidium atoms used are not very good at measuring fields that are neither slow nor fast – they are much more suited to a middle band around the MHz range. By ‘dressing’ the atoms with electromagnetic fields and radiation, we aim to achieve multiple milestones. Firstly, to use the cold atoms to begin measuring such magnetic field frequencies in real time. Secondly, to measure weak fields with a very narrow bandwidth. This would allow for a precise identification of a source frequency, useful for measuring very weak fields from biological organisms (such as neural pulses) or signal carrier waves from devices such as drones that propagate through open space.</w:t>
      </w:r>
    </w:p>
    <w:p w:rsidR="002759C1" w:rsidRDefault="002759C1" w:rsidP="00DD7B70">
      <w:pPr>
        <w:rPr>
          <w:b/>
        </w:rPr>
      </w:pPr>
    </w:p>
    <w:p w:rsidR="00C31506" w:rsidRPr="00992B72" w:rsidRDefault="00C31506" w:rsidP="00C31506">
      <w:r w:rsidRPr="00992B72">
        <w:rPr>
          <w:b/>
          <w:noProof/>
        </w:rPr>
        <w:t>Mehta Vidish</w:t>
      </w:r>
      <w:r w:rsidRPr="00992B72">
        <w:rPr>
          <w:b/>
        </w:rPr>
        <w:t xml:space="preserve"> </w:t>
      </w:r>
      <w:r w:rsidRPr="00992B72">
        <w:rPr>
          <w:b/>
          <w:noProof/>
        </w:rPr>
        <w:t>Pranav</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Development of Ligand-Carrying Particles for Coating on Membranes for Membrane Distillation Technology</w:t>
      </w:r>
    </w:p>
    <w:p w:rsidR="00C31506" w:rsidRPr="00C31506" w:rsidRDefault="00C31506" w:rsidP="00C31506">
      <w:pPr>
        <w:rPr>
          <w:sz w:val="20"/>
          <w:szCs w:val="20"/>
        </w:rPr>
      </w:pPr>
      <w:r w:rsidRPr="00C31506">
        <w:rPr>
          <w:noProof/>
          <w:sz w:val="20"/>
          <w:szCs w:val="20"/>
        </w:rPr>
        <w:t>Water pollution is a fast emerging plight of rapid technological growth with oil and gas, palm oil and mining industries producing large quantities of oily wastewater. Researchers are focusing on engaging membrane distillation technology to generate clean water from industrial wastewater. Membrane distillation is a thermally driven separation process involving cross flow of a hot feed (wastewater) and cold recycle-water on either side of a hydrophobic membrane allowing the wastewater-side volatile material to evaporate across the membrane, thus treating the wastewater. Fouling and wetting on membrane surface reduces vapor flux across the membrane. The advent of new and improvised membrane fabrication technology has enabled the use of micro-filtration membranes. Research has also proven that horizontally oriented acrylic membrane module, with the hot feed on top, reduces fouling and wetting of the membrane. The aim of our research was to investigate the ability of ligand-carrying and organic-foulant degrading C3N4 and C3N6 particle coating on the PVDF membrane in generating flux across a cross-flow horizontally oriented acrylic membrane module. The results from the membrane distillation conclude no flux in the ligand-carrying C3N4 and C3N6 particles owing to the wetting and subsequent fouling of the membrane surface. A promising future plan involves modifying the inclination angle of the top membrane module to further reduce fouling and wetting. This could allow the generation of flux across the membrane and enable the production of clean water from industrial wastewater. An alternative future plan could involve the development of an effective anti-foulant membrane.</w:t>
      </w:r>
    </w:p>
    <w:p w:rsidR="00435958" w:rsidRDefault="00435958" w:rsidP="00DD7B70">
      <w:pPr>
        <w:rPr>
          <w:sz w:val="20"/>
          <w:szCs w:val="20"/>
        </w:rPr>
      </w:pPr>
      <w:r w:rsidRPr="00C31506">
        <w:rPr>
          <w:sz w:val="20"/>
          <w:szCs w:val="20"/>
        </w:rPr>
        <w:t>Archives of Singapore and oral history accounts from interviews with current survivors of the Japanese Occupation in Singapore; providing insight on the impact of this historical event that both artist and Singaporean local bore witness to from 1942 to 1945.</w:t>
      </w:r>
    </w:p>
    <w:p w:rsidR="00A407B0" w:rsidRPr="00C31506" w:rsidRDefault="00A407B0" w:rsidP="00DD7B70">
      <w:pPr>
        <w:rPr>
          <w:sz w:val="20"/>
          <w:szCs w:val="20"/>
        </w:rPr>
      </w:pPr>
    </w:p>
    <w:p w:rsidR="00AD4B94" w:rsidRDefault="00AD4B94">
      <w:pPr>
        <w:pStyle w:val="Heading2"/>
      </w:pPr>
      <w:bookmarkStart w:id="17" w:name="_Toc501711904"/>
      <w:r>
        <w:t>Session 3D (Monash University, Australia &amp; Nayang Technological University, Singapore)</w:t>
      </w:r>
      <w:bookmarkEnd w:id="17"/>
    </w:p>
    <w:p w:rsidR="00AD4B94" w:rsidRDefault="00AD4B94" w:rsidP="00AD4B94">
      <w:pPr>
        <w:rPr>
          <w:i/>
        </w:rPr>
      </w:pPr>
      <w:r w:rsidRPr="00AD4B94">
        <w:rPr>
          <w:i/>
        </w:rPr>
        <w:t>Theme: Gender, Politics &amp; Identity</w:t>
      </w:r>
    </w:p>
    <w:p w:rsidR="00864587" w:rsidRDefault="00864587" w:rsidP="00AD4B94">
      <w:pPr>
        <w:rPr>
          <w:b/>
        </w:rPr>
      </w:pPr>
    </w:p>
    <w:p w:rsidR="00AD4B94" w:rsidRPr="00992B72" w:rsidRDefault="00AD4B94" w:rsidP="00AD4B94">
      <w:r w:rsidRPr="00AD4B94">
        <w:rPr>
          <w:b/>
        </w:rPr>
        <w:t>Miranda Lucas</w:t>
      </w:r>
      <w:r w:rsidRPr="00435958">
        <w:t xml:space="preserve"> </w:t>
      </w:r>
      <w:r>
        <w:t>(Monash University, Australia)</w:t>
      </w:r>
      <w:r>
        <w:br/>
      </w:r>
      <w:r w:rsidRPr="00992B72">
        <w:rPr>
          <w:i/>
          <w:noProof/>
        </w:rPr>
        <w:t>A Critique of Tolstoy’s Pacifist Prescription</w:t>
      </w:r>
    </w:p>
    <w:p w:rsidR="00AD4B94" w:rsidRPr="00AD4B94" w:rsidRDefault="00AD4B94" w:rsidP="00AD4B94">
      <w:pPr>
        <w:rPr>
          <w:sz w:val="20"/>
          <w:szCs w:val="20"/>
        </w:rPr>
      </w:pPr>
      <w:r w:rsidRPr="00AD4B94">
        <w:rPr>
          <w:noProof/>
          <w:sz w:val="20"/>
          <w:szCs w:val="20"/>
        </w:rPr>
        <w:lastRenderedPageBreak/>
        <w:t>Tolstoy established a powerful argument in favour of political pacifism in his book</w:t>
      </w:r>
      <w:r w:rsidRPr="00AD4B94">
        <w:rPr>
          <w:i/>
          <w:noProof/>
          <w:sz w:val="20"/>
          <w:szCs w:val="20"/>
        </w:rPr>
        <w:t xml:space="preserve"> I Cannot Be Silent: Writings on Politics, Art and Religion</w:t>
      </w:r>
      <w:r w:rsidRPr="00AD4B94">
        <w:rPr>
          <w:noProof/>
          <w:sz w:val="20"/>
          <w:szCs w:val="20"/>
        </w:rPr>
        <w:t>. His argument is largely concerned with the notion of violence in politics and the way in which it is cultivated within the state system. This essay will be divided into two respective sections. The first section will seek to provide a clear explanation of Tolstoy’s argument for why people should refuse to go to war. In doing this, it will refer to the way in which his rejection of patriotism provides the foundation for his absolute claim. It will also discuss his notion of individual responsibility in reference to Kant’s notion of respect. The second section of this paper will argue that, while Tolstoy’s claim succeeds in the abstract, its practical implementation is problematic. In this sense, it will be concluded that he is wrong. The rejection of his claim will also be separated into two parts. The first part will reject his absolute claim that war results from patriotic feeling by providing a counter-example from the historical threat of invasion posed by Japan in WW2. The second will refer to Primoratz in a comparative analysis of Tolstoy’s emphasis on individual responsibility.</w:t>
      </w:r>
    </w:p>
    <w:p w:rsidR="00AD4B94" w:rsidRDefault="00AD4B94" w:rsidP="00AD4B94"/>
    <w:p w:rsidR="00AD4B94" w:rsidRPr="00992B72" w:rsidRDefault="00AD4B94" w:rsidP="00AD4B94">
      <w:r w:rsidRPr="00992B72">
        <w:rPr>
          <w:b/>
          <w:noProof/>
        </w:rPr>
        <w:t>Annabel</w:t>
      </w:r>
      <w:r w:rsidRPr="00992B72">
        <w:rPr>
          <w:b/>
        </w:rPr>
        <w:t xml:space="preserve"> </w:t>
      </w:r>
      <w:r w:rsidRPr="00992B72">
        <w:rPr>
          <w:b/>
          <w:noProof/>
        </w:rPr>
        <w:t>Pang Shi Min</w:t>
      </w:r>
      <w:r w:rsidRPr="00992B72">
        <w:t xml:space="preserve"> (</w:t>
      </w:r>
      <w:r w:rsidRPr="00992B72">
        <w:rPr>
          <w:noProof/>
        </w:rPr>
        <w:t>N</w:t>
      </w:r>
      <w:r>
        <w:rPr>
          <w:noProof/>
        </w:rPr>
        <w:t>anyang Technological University</w:t>
      </w:r>
      <w:r w:rsidRPr="00992B72">
        <w:t xml:space="preserve">, </w:t>
      </w:r>
      <w:r w:rsidRPr="00992B72">
        <w:rPr>
          <w:noProof/>
        </w:rPr>
        <w:t>Singapore</w:t>
      </w:r>
      <w:r w:rsidRPr="00992B72">
        <w:t>)</w:t>
      </w:r>
      <w:r>
        <w:br/>
      </w:r>
      <w:r w:rsidRPr="00992B72">
        <w:rPr>
          <w:i/>
          <w:noProof/>
        </w:rPr>
        <w:t>Exploring the Renaissance Concept of Self-Fashioning of Identity in Shakespeare’s Hamlet</w:t>
      </w:r>
    </w:p>
    <w:p w:rsidR="00AD4B94" w:rsidRPr="00AD4B94" w:rsidRDefault="00AD4B94" w:rsidP="00AD4B94">
      <w:pPr>
        <w:rPr>
          <w:sz w:val="20"/>
          <w:szCs w:val="20"/>
        </w:rPr>
      </w:pPr>
      <w:r w:rsidRPr="00AD4B94">
        <w:rPr>
          <w:noProof/>
          <w:sz w:val="20"/>
          <w:szCs w:val="20"/>
        </w:rPr>
        <w:t>This project will trace the Renaissance concept of self-fashioning that is central in Shakespeare’s play Hamlet, with a specific focus on Hamlet’s madness. Despite the various ongoing discussions regarding his ‘antic disposition’, the driving forces behind Hamlet’s decision to feign madness are less understood and the discourse relating to the condition of his mental state remains fairly static. This is especially since the conversation chiefly circles around his mental condition and predominantly builds on Ernest Jones’s ‘The Oedipus Complex as an Explanation of Hamlet’s Mystery’ to explain his madness. As a result, this research paper aims to expand the conversation and examine how the self-fashioning phenomena shapes the motivation behind Hamlet’s decision to feign madness. This will be done through the study of his weaponisation of art, which includes the staging of The Mousetrap within the Court and his performing the role of the fool. The paper will also verify his insanity by using a less explored method, applying postmodern theories such as Jean Baudrillard’s ‘The Precession of Simulacra’ as well as Jacques Lacan’s ‘The Mirror Stage’.</w:t>
      </w:r>
    </w:p>
    <w:p w:rsidR="00AD4B94" w:rsidRDefault="00AD4B94" w:rsidP="00AD4B94">
      <w:pPr>
        <w:rPr>
          <w:b/>
          <w:noProof/>
        </w:rPr>
      </w:pPr>
    </w:p>
    <w:p w:rsidR="00AF0DF1" w:rsidRPr="00992B72" w:rsidRDefault="00AF0DF1" w:rsidP="00AF0DF1">
      <w:r w:rsidRPr="00992B72">
        <w:rPr>
          <w:b/>
          <w:noProof/>
        </w:rPr>
        <w:t>Aisyah Binte</w:t>
      </w:r>
      <w:r w:rsidRPr="00992B72">
        <w:rPr>
          <w:b/>
        </w:rPr>
        <w:t xml:space="preserve"> </w:t>
      </w:r>
      <w:r w:rsidRPr="00992B72">
        <w:rPr>
          <w:b/>
          <w:noProof/>
        </w:rPr>
        <w:t>Yusoff</w:t>
      </w:r>
      <w:r w:rsidRPr="00992B72">
        <w:t xml:space="preserve"> (</w:t>
      </w:r>
      <w:r w:rsidRPr="00992B72">
        <w:rPr>
          <w:noProof/>
        </w:rPr>
        <w:t>Nanyang Technological University (NTU)</w:t>
      </w:r>
      <w:r w:rsidRPr="00992B72">
        <w:t xml:space="preserve">, </w:t>
      </w:r>
      <w:r w:rsidRPr="00992B72">
        <w:rPr>
          <w:noProof/>
        </w:rPr>
        <w:t>Singapore</w:t>
      </w:r>
      <w:r w:rsidRPr="00992B72">
        <w:t>)</w:t>
      </w:r>
    </w:p>
    <w:p w:rsidR="00AF0DF1" w:rsidRDefault="00AF0DF1" w:rsidP="00AF0DF1">
      <w:pPr>
        <w:rPr>
          <w:noProof/>
          <w:sz w:val="20"/>
          <w:szCs w:val="20"/>
        </w:rPr>
      </w:pPr>
      <w:r w:rsidRPr="00992B72">
        <w:rPr>
          <w:i/>
          <w:noProof/>
        </w:rPr>
        <w:t>Household Structure and Marital Stability in Indonesia</w:t>
      </w:r>
      <w:r>
        <w:br/>
      </w:r>
      <w:r w:rsidRPr="00AF0DF1">
        <w:rPr>
          <w:noProof/>
          <w:sz w:val="20"/>
          <w:szCs w:val="20"/>
        </w:rPr>
        <w:t>With the advent of modernisation, household structures across societies have shifted towards nuclearisation, moving away from the traditional extended family structure. Sociologically, the household structure is said to have a significant impact on individuals, and thus on marriages, due to its economic, social and legal implications. This paper uses the Indonesia Family Life Survey (ILFS) longitudinal data to investigate the relationship between family structure and marital stability. Using data from a 25-year panel study of participants from Indonesia, this paper analyses their household structure at the time of marriage and the risk of divorce of all ever-married individuals, restricted to first marriages. Currently, there are few studies that analyse the possible impact of household structure on divorce rates. This research attempts to fill this gap, by examining the household structure established at the point of first marriage and the continuity of marriage in the subsequent years. Limitations of this research include the assumption of the household structure to be an invariant measure and that other variables are not taken into account due to the simplistic nature of said analysis.</w:t>
      </w:r>
    </w:p>
    <w:p w:rsidR="001145DF" w:rsidRDefault="001145DF" w:rsidP="00AF0DF1"/>
    <w:p w:rsidR="00A407B0" w:rsidRDefault="00A407B0" w:rsidP="00AF0DF1"/>
    <w:p w:rsidR="00A407B0" w:rsidRDefault="00A407B0" w:rsidP="00AF0DF1"/>
    <w:p w:rsidR="00A407B0" w:rsidRPr="00992B72" w:rsidRDefault="00A407B0" w:rsidP="00AF0DF1"/>
    <w:p w:rsidR="002759C1" w:rsidRDefault="002759C1" w:rsidP="002759C1">
      <w:pPr>
        <w:pStyle w:val="Heading1"/>
        <w:jc w:val="center"/>
      </w:pPr>
      <w:bookmarkStart w:id="18" w:name="_Toc501711905"/>
      <w:r>
        <w:lastRenderedPageBreak/>
        <w:t>SESSION 4</w:t>
      </w:r>
      <w:bookmarkEnd w:id="18"/>
    </w:p>
    <w:p w:rsidR="002759C1" w:rsidRDefault="002759C1" w:rsidP="00DD7B70">
      <w:pPr>
        <w:rPr>
          <w:b/>
        </w:rPr>
      </w:pPr>
    </w:p>
    <w:p w:rsidR="00E549C4" w:rsidRPr="008F0D2E" w:rsidRDefault="00E549C4" w:rsidP="002759C1">
      <w:pPr>
        <w:pStyle w:val="Heading2"/>
      </w:pPr>
      <w:bookmarkStart w:id="19" w:name="_Toc501711906"/>
      <w:r w:rsidRPr="008F0D2E">
        <w:t xml:space="preserve">Session 4A (Monash </w:t>
      </w:r>
      <w:r w:rsidR="00D23BC9">
        <w:t>University</w:t>
      </w:r>
      <w:r w:rsidR="00435958">
        <w:t xml:space="preserve"> </w:t>
      </w:r>
      <w:r w:rsidRPr="008F0D2E">
        <w:t>Australia &amp; Kyushu</w:t>
      </w:r>
      <w:r w:rsidR="00D23BC9">
        <w:t xml:space="preserve"> University</w:t>
      </w:r>
      <w:r w:rsidR="00435958">
        <w:t xml:space="preserve"> Japan</w:t>
      </w:r>
      <w:r w:rsidRPr="008F0D2E">
        <w:t xml:space="preserve"> &amp; N</w:t>
      </w:r>
      <w:r w:rsidR="00435958">
        <w:t xml:space="preserve">anyang </w:t>
      </w:r>
      <w:r w:rsidRPr="008F0D2E">
        <w:t>T</w:t>
      </w:r>
      <w:r w:rsidR="00435958">
        <w:t xml:space="preserve">echnological </w:t>
      </w:r>
      <w:r w:rsidRPr="008F0D2E">
        <w:t>U</w:t>
      </w:r>
      <w:r w:rsidR="00435958">
        <w:t>niversity, Singapore</w:t>
      </w:r>
      <w:r w:rsidRPr="008F0D2E">
        <w:t>)</w:t>
      </w:r>
      <w:bookmarkEnd w:id="19"/>
      <w:r w:rsidRPr="008F0D2E">
        <w:t xml:space="preserve"> </w:t>
      </w:r>
    </w:p>
    <w:p w:rsidR="00E549C4" w:rsidRPr="002759C1" w:rsidRDefault="00435958" w:rsidP="00DD7B70">
      <w:pPr>
        <w:rPr>
          <w:rStyle w:val="SubtleEmphasis"/>
        </w:rPr>
      </w:pPr>
      <w:r w:rsidRPr="002759C1">
        <w:rPr>
          <w:rStyle w:val="SubtleEmphasis"/>
        </w:rPr>
        <w:t xml:space="preserve">Theme: </w:t>
      </w:r>
      <w:r w:rsidR="00373D45" w:rsidRPr="00373D45">
        <w:rPr>
          <w:rStyle w:val="SubtleEmphasis"/>
        </w:rPr>
        <w:t>Urban Design &amp; Development</w:t>
      </w:r>
    </w:p>
    <w:p w:rsidR="0098261D" w:rsidRPr="008F0D2E" w:rsidRDefault="0098261D" w:rsidP="00DD7B70">
      <w:pPr>
        <w:rPr>
          <w:i/>
        </w:rPr>
      </w:pPr>
    </w:p>
    <w:p w:rsidR="00373D45" w:rsidRPr="00992B72" w:rsidRDefault="00373D45" w:rsidP="00373D45">
      <w:r w:rsidRPr="00373D45">
        <w:rPr>
          <w:b/>
        </w:rPr>
        <w:t xml:space="preserve">Daniel Ricardo, Mukund Premakumar </w:t>
      </w:r>
      <w:r w:rsidRPr="00373D45">
        <w:t xml:space="preserve">(GLARP, </w:t>
      </w:r>
      <w:r w:rsidR="00435958">
        <w:t>Monash University, Australia)</w:t>
      </w:r>
      <w:r>
        <w:br/>
      </w:r>
      <w:r w:rsidRPr="00992B72">
        <w:rPr>
          <w:i/>
          <w:noProof/>
        </w:rPr>
        <w:t xml:space="preserve">Project Greenthumb : Cultivating </w:t>
      </w:r>
      <w:r w:rsidR="00BF4AE1">
        <w:rPr>
          <w:i/>
          <w:noProof/>
        </w:rPr>
        <w:t>Urban S</w:t>
      </w:r>
      <w:r w:rsidRPr="00992B72">
        <w:rPr>
          <w:i/>
          <w:noProof/>
        </w:rPr>
        <w:t>ustainability</w:t>
      </w:r>
    </w:p>
    <w:p w:rsidR="00373D45" w:rsidRPr="00373D45" w:rsidRDefault="00373D45" w:rsidP="00373D45">
      <w:pPr>
        <w:rPr>
          <w:sz w:val="20"/>
          <w:szCs w:val="20"/>
        </w:rPr>
      </w:pPr>
      <w:r w:rsidRPr="00373D45">
        <w:rPr>
          <w:noProof/>
          <w:sz w:val="20"/>
          <w:szCs w:val="20"/>
        </w:rPr>
        <w:t>Current estimates predict that the global population will surpass 9.7 billion people by 2050, with over 70% occupying urban, already dense metropolitan dwellings. To maximise available habitable space, apartment complexes now dominate the urban landscapes of most modern populated cities. Project Greenthumb aims to act as an app-based approach to resolve current issues in environmental sustainability of the food supply, guiding users through how to start their own productive apartment gardens. This is particularly important as climate change-induced weather variability highlights the fragility of the industrial food supplies that feed Australia’s cities. Greenthumb will systematically provide garden designs based on sunlight heatmap data and experimental research to be conducted over November–February, which will determine the most productive and efficient garden compositions and layouts for Melbourne. Moreover, data will be collected on the effectiveness of recycling common household rubbish into tools that promote seedling development and survival rates – HUSK (Handy Urban Seedling Kit). In determining the most productive apartment garden designs that utilise recycled rubbish, this project will demonstrate the potential of apartment agriculture for long-term sustainability of the food supply and environment. This research will contribute to the gap in knowledge and understanding of apartment dwellers and beginner gardeners, who want to establish their own source of fresh produce. Moreover, this research will enhance the performance and sustainability of already existing urban gardens, and aims to benefit overall community health, providing detailed recipes and nutritional information to incentivise users towards healthier lifestyles.</w:t>
      </w:r>
    </w:p>
    <w:p w:rsidR="00435958" w:rsidRPr="00401794" w:rsidRDefault="00435958" w:rsidP="00DD7B70">
      <w:pPr>
        <w:rPr>
          <w:sz w:val="20"/>
        </w:rPr>
      </w:pPr>
    </w:p>
    <w:p w:rsidR="00373D45" w:rsidRPr="00373D45" w:rsidRDefault="00373D45" w:rsidP="00373D45">
      <w:r w:rsidRPr="00992B72">
        <w:rPr>
          <w:b/>
        </w:rPr>
        <w:t>Kosuke Hiromatsu</w:t>
      </w:r>
      <w:r>
        <w:t xml:space="preserve"> (Kyushu University, Japan)</w:t>
      </w:r>
      <w:r>
        <w:br/>
      </w:r>
      <w:r w:rsidRPr="00992B72">
        <w:rPr>
          <w:i/>
        </w:rPr>
        <w:t>How to Design a Bicycle-Friendly City: The Fukuoka project</w:t>
      </w:r>
    </w:p>
    <w:p w:rsidR="00373D45" w:rsidRPr="00373D45" w:rsidRDefault="00373D45" w:rsidP="00373D45">
      <w:pPr>
        <w:rPr>
          <w:sz w:val="20"/>
          <w:szCs w:val="20"/>
        </w:rPr>
      </w:pPr>
      <w:r w:rsidRPr="00373D45">
        <w:rPr>
          <w:sz w:val="20"/>
          <w:szCs w:val="20"/>
        </w:rPr>
        <w:t>There may be few people who know that the Japanese bicycle ownership rate is sixth in the world. Students, office workers and a lot of Japanese people use bicycles as a mode of transportation in Japan. So, Japan is, so to speak, a ‘bicycle country’, but not a ‘bicycle-developed country’. For example, cyclists have to ride on the pavement, avoiding pedestrians, because there are few bicycle lanes. The shortage of parking spaces makes people park bicycles illegally, and the legislation towards using bicycles is quite weak. As a result, cyclists are regarded as dangerous by both pedestrians and car drivers, which further leads to a degradation of the idea of riding a bicycle. So, Japanese urban areas need to be redesigned, focusing on bicycles. I am developing a plan for an actual urban design of Fukuoka city. Fukuoka is located in the northern part of Kyushu, and has a population of about 1.5 million. The highest population density is in Tenjin, Hakata district – the urban area of Fukuoka city – where there are many cyclists. Riding a bicycle in Tenjin is almost impossible. Not only is there no bicycle lane, but also cyclists tend to break the rules on the pavement. In addition, Fukuoka has the highest number of abandoned bicycles in any year. To make Fukuoka a bicycle-friendly city, my research will include topography, statistics, GIS and the observation of public life. Bicycles are the best means of transport in Fukuoka, because it is a relatively compact city, and public transportation is also well developed. Travelling by bicycle also enables people to appreciate the abundant nature in the suburbs more intensely.</w:t>
      </w:r>
    </w:p>
    <w:p w:rsidR="00864587" w:rsidRDefault="00864587" w:rsidP="00AA4347">
      <w:pPr>
        <w:rPr>
          <w:b/>
        </w:rPr>
      </w:pPr>
    </w:p>
    <w:p w:rsidR="00AA4347" w:rsidRPr="00992B72" w:rsidRDefault="00AA4347" w:rsidP="00AA4347">
      <w:r w:rsidRPr="00AA4347">
        <w:rPr>
          <w:b/>
        </w:rPr>
        <w:lastRenderedPageBreak/>
        <w:t>Zhen Yue Chan</w:t>
      </w:r>
      <w:r w:rsidRPr="00AA4347">
        <w:t xml:space="preserve"> (</w:t>
      </w:r>
      <w:r>
        <w:t>Nanyang Technical College, Singapore</w:t>
      </w:r>
      <w:r w:rsidRPr="00AA4347">
        <w:t>)</w:t>
      </w:r>
      <w:r>
        <w:br/>
      </w:r>
      <w:r w:rsidRPr="00992B72">
        <w:rPr>
          <w:i/>
          <w:noProof/>
        </w:rPr>
        <w:t>Low-Cost Smart Home System</w:t>
      </w:r>
    </w:p>
    <w:p w:rsidR="00AA4347" w:rsidRPr="00AA4347" w:rsidRDefault="00AA4347" w:rsidP="00AA4347">
      <w:pPr>
        <w:rPr>
          <w:sz w:val="20"/>
          <w:szCs w:val="20"/>
        </w:rPr>
      </w:pPr>
      <w:r w:rsidRPr="00AA4347">
        <w:rPr>
          <w:noProof/>
          <w:sz w:val="20"/>
          <w:szCs w:val="20"/>
        </w:rPr>
        <w:t>For more than a decade, smart systems have played a crucial part of today’s human daily life. With the use of modern technologies; smart sensors, processors and phones, smart home systems nowadays enhance distributed entertainment, household control, home energy monitoring, home security and surveillance. The services they provide include voice-controlled alarms, personalised calendars, and weather and news report reminders. One can even set a coffee maker to prepare coffee every morning! The smart home systems available in the market might be great to use but not easy to modify to suit every consumer’s individual needs. This paper presents an overall design for a low-cost, micro-computer based smart home system, which is mainly designed for the hall residents of Nanyang Technological University. It aims to improve their academic performance by providing a better quality of living. The system can be operated as a computer and supports integration with various sensors through its General-purpose Input/Output pins (GPIO). The presented system integrates household appliance control, entertainment system, hall facilities monitoring and home security. It is controlled via Telegram on smart phones and Alexa voice control supported by Amazon Web Services (AWS).</w:t>
      </w:r>
    </w:p>
    <w:p w:rsidR="0098261D" w:rsidRDefault="0098261D" w:rsidP="00DD7B70">
      <w:pPr>
        <w:rPr>
          <w:sz w:val="20"/>
        </w:rPr>
      </w:pPr>
    </w:p>
    <w:p w:rsidR="008478BE" w:rsidRPr="008478BE" w:rsidRDefault="008478BE" w:rsidP="008478BE">
      <w:r w:rsidRPr="008478BE">
        <w:rPr>
          <w:b/>
        </w:rPr>
        <w:t>Satoru Oshita</w:t>
      </w:r>
      <w:r>
        <w:t xml:space="preserve"> </w:t>
      </w:r>
      <w:r>
        <w:t>(Kyushu University, Japan)</w:t>
      </w:r>
      <w:r>
        <w:br/>
      </w:r>
      <w:r w:rsidRPr="008478BE">
        <w:rPr>
          <w:bCs/>
          <w:i/>
        </w:rPr>
        <w:t>How to reduce the influence of an earthquake? 'The lesson from Kumamoto earthquake'</w:t>
      </w:r>
    </w:p>
    <w:p w:rsidR="008478BE" w:rsidRPr="008478BE" w:rsidRDefault="008478BE" w:rsidP="008478BE">
      <w:pPr>
        <w:rPr>
          <w:sz w:val="20"/>
          <w:szCs w:val="20"/>
        </w:rPr>
      </w:pPr>
      <w:r w:rsidRPr="008478BE">
        <w:rPr>
          <w:sz w:val="20"/>
          <w:szCs w:val="20"/>
        </w:rPr>
        <w:t>On Tuesday, April 14, the island of Kyushu in southwestern Japan was hit by a magnitude 6.5 earthquake followed by an M7.3 quake on Saturday with many aftershocks in the days following. When it happened in Kumamoto, I was in Kumamoto city. The earthquake gave serious damage in most areas of Kumamoto. For example, about 200,000 houses were broken and more than 200 people were killed by it. One year passed from the earthquake disaster, but the influence of it is still left. Who was able to predict this great earthquake disaster? Generally speaking, we could not predict when an earthquake happens. So we have to prepare for it in daily life, but what should we do to reduce the influence of it? Because of these questions, I was interested in the disaster prevention like an earthquake and want to research about it. On this occasion, I would like to research about it and share information about things that what we should do in daily life. For example, readying emergency carry bag which includes water, food, medicine and so on, making rules in your family. Information will be gathered from articles, books, literature and interviews of people who met Kumomoto earthquake.</w:t>
      </w:r>
    </w:p>
    <w:p w:rsidR="008478BE" w:rsidRDefault="008478BE" w:rsidP="00DD7B70">
      <w:pPr>
        <w:rPr>
          <w:sz w:val="20"/>
        </w:rPr>
      </w:pPr>
    </w:p>
    <w:p w:rsidR="00E549C4" w:rsidRPr="008F0D2E" w:rsidRDefault="00E549C4" w:rsidP="002759C1">
      <w:pPr>
        <w:pStyle w:val="Heading2"/>
      </w:pPr>
      <w:bookmarkStart w:id="20" w:name="_Toc501711907"/>
      <w:r w:rsidRPr="008F0D2E">
        <w:t xml:space="preserve">Session 4B (Monash </w:t>
      </w:r>
      <w:r w:rsidR="00D23BC9">
        <w:t xml:space="preserve">University </w:t>
      </w:r>
      <w:r w:rsidRPr="008F0D2E">
        <w:t xml:space="preserve">Australia &amp; Monash </w:t>
      </w:r>
      <w:r w:rsidR="00D23BC9">
        <w:t xml:space="preserve">University </w:t>
      </w:r>
      <w:r w:rsidRPr="008F0D2E">
        <w:t>Malaysia)</w:t>
      </w:r>
      <w:bookmarkEnd w:id="20"/>
      <w:r w:rsidRPr="008F0D2E">
        <w:t xml:space="preserve"> </w:t>
      </w:r>
    </w:p>
    <w:p w:rsidR="0098261D" w:rsidRPr="002759C1" w:rsidRDefault="00E41C7B" w:rsidP="00DD7B70">
      <w:pPr>
        <w:rPr>
          <w:rStyle w:val="SubtleEmphasis"/>
        </w:rPr>
      </w:pPr>
      <w:r w:rsidRPr="002759C1">
        <w:rPr>
          <w:rStyle w:val="SubtleEmphasis"/>
        </w:rPr>
        <w:t xml:space="preserve">Theme: </w:t>
      </w:r>
      <w:r w:rsidR="00AA4347" w:rsidRPr="00AA4347">
        <w:rPr>
          <w:rStyle w:val="SubtleEmphasis"/>
        </w:rPr>
        <w:t>Environment, Climate Change &amp; Green Energy</w:t>
      </w:r>
    </w:p>
    <w:p w:rsidR="00D926DD" w:rsidRDefault="00D926DD" w:rsidP="00D926DD">
      <w:pPr>
        <w:rPr>
          <w:b/>
          <w:noProof/>
        </w:rPr>
      </w:pPr>
    </w:p>
    <w:p w:rsidR="00D926DD" w:rsidRPr="00992B72" w:rsidRDefault="00D926DD" w:rsidP="00D926DD">
      <w:r w:rsidRPr="00992B72">
        <w:rPr>
          <w:b/>
          <w:noProof/>
        </w:rPr>
        <w:t>Febrianne</w:t>
      </w:r>
      <w:r w:rsidRPr="00992B72">
        <w:rPr>
          <w:b/>
        </w:rPr>
        <w:t xml:space="preserve"> </w:t>
      </w:r>
      <w:r w:rsidRPr="00992B72">
        <w:rPr>
          <w:b/>
          <w:noProof/>
        </w:rPr>
        <w:t>Sukiato</w:t>
      </w:r>
      <w:r w:rsidRPr="00992B72">
        <w:t xml:space="preserve"> (</w:t>
      </w:r>
      <w:r w:rsidRPr="00992B72">
        <w:rPr>
          <w:noProof/>
        </w:rPr>
        <w:t>Monash University</w:t>
      </w:r>
      <w:r w:rsidRPr="00992B72">
        <w:t xml:space="preserve">, </w:t>
      </w:r>
      <w:r w:rsidRPr="00992B72">
        <w:rPr>
          <w:noProof/>
        </w:rPr>
        <w:t>Malaysia</w:t>
      </w:r>
      <w:r>
        <w:t>)</w:t>
      </w:r>
      <w:r>
        <w:br/>
      </w:r>
      <w:r w:rsidRPr="00992B72">
        <w:rPr>
          <w:i/>
          <w:noProof/>
        </w:rPr>
        <w:t>Climate Change as a Factor of the Growth of Aedes Albopictus Larvae</w:t>
      </w:r>
    </w:p>
    <w:p w:rsidR="00D926DD" w:rsidRPr="00D926DD" w:rsidRDefault="00D926DD" w:rsidP="00D926DD">
      <w:pPr>
        <w:rPr>
          <w:sz w:val="20"/>
          <w:szCs w:val="20"/>
        </w:rPr>
      </w:pPr>
      <w:r w:rsidRPr="00D926DD">
        <w:rPr>
          <w:noProof/>
          <w:sz w:val="20"/>
          <w:szCs w:val="20"/>
        </w:rPr>
        <w:t xml:space="preserve">The Asian Tiger mosquito (Aedes albopictus) is a widespread vector of chikungunya, dengue fever and the Zika virus. The control of this species of mosquito is thus critical for the prevention of these diseases in the tropics. Climate-change science predicts a rise in global temperatures and changing weather patterns, which may affect growth rates of Ae. albopictus. This experiment uses light intensity and temperature to represent two climate-change factors, and will investigate their effects on Ae. albopictus larval growth. Ae. albopictus eggs will be collected using an Aedes ovitrap to ensure that the larvae used are wild and representative of the population in the area. Upon hatching, larvae will be introduced into catchments that are exposed to a combination of different light intensities and temperatures until their metamorphosis into adults. The temperatures used will be 17°C, 22°C, 27°C, 32°C and 37°C. Lamps with 6500K will be used with different wattages to represent different light intensities. Larvae will be fed with ground up cat food, and tanks will be aerated. It is hypothesised that larvae grown in warmer temperatures and higher light intensities will mature </w:t>
      </w:r>
      <w:r w:rsidRPr="00D926DD">
        <w:rPr>
          <w:noProof/>
          <w:sz w:val="20"/>
          <w:szCs w:val="20"/>
        </w:rPr>
        <w:lastRenderedPageBreak/>
        <w:t>faster into adults, and this may have great consequences in developing countries and populations vulnerable to mosquito-borne diseases. The results attained from this experiment will aid in future strategies of mosquito population control when climate change becomes more of a factor to their population growth.</w:t>
      </w:r>
    </w:p>
    <w:p w:rsidR="0098261D" w:rsidRPr="00D926DD" w:rsidRDefault="0098261D" w:rsidP="00DD7B70">
      <w:pPr>
        <w:rPr>
          <w:sz w:val="20"/>
          <w:szCs w:val="20"/>
        </w:rPr>
      </w:pPr>
    </w:p>
    <w:p w:rsidR="00D926DD" w:rsidRPr="00992B72" w:rsidRDefault="00D926DD" w:rsidP="00D926DD">
      <w:r w:rsidRPr="00992B72">
        <w:rPr>
          <w:b/>
          <w:noProof/>
        </w:rPr>
        <w:t>Chenyang</w:t>
      </w:r>
      <w:r w:rsidRPr="00992B72">
        <w:rPr>
          <w:b/>
        </w:rPr>
        <w:t xml:space="preserve"> </w:t>
      </w:r>
      <w:r w:rsidRPr="00992B72">
        <w:rPr>
          <w:b/>
          <w:noProof/>
        </w:rPr>
        <w:t>Lu</w:t>
      </w:r>
      <w:r w:rsidRPr="00992B72">
        <w:t xml:space="preserve"> (</w:t>
      </w:r>
      <w:r w:rsidRPr="00992B72">
        <w:rPr>
          <w:noProof/>
        </w:rPr>
        <w:t>Monash University</w:t>
      </w:r>
      <w:r w:rsidRPr="00992B72">
        <w:t xml:space="preserve">, </w:t>
      </w:r>
      <w:r w:rsidRPr="00992B72">
        <w:rPr>
          <w:noProof/>
        </w:rPr>
        <w:t>Australia</w:t>
      </w:r>
      <w:r w:rsidRPr="00992B72">
        <w:t>)</w:t>
      </w:r>
      <w:r>
        <w:br/>
      </w:r>
      <w:r w:rsidRPr="00992B72">
        <w:rPr>
          <w:i/>
          <w:noProof/>
        </w:rPr>
        <w:t>Effects of Pore Geometry on Rheological Behaviour of Water in Brown Coal</w:t>
      </w:r>
    </w:p>
    <w:p w:rsidR="00D926DD" w:rsidRPr="00D926DD" w:rsidRDefault="00D926DD" w:rsidP="00D926DD">
      <w:pPr>
        <w:rPr>
          <w:sz w:val="20"/>
          <w:szCs w:val="20"/>
        </w:rPr>
      </w:pPr>
      <w:r w:rsidRPr="00D926DD">
        <w:rPr>
          <w:noProof/>
          <w:sz w:val="20"/>
          <w:szCs w:val="20"/>
        </w:rPr>
        <w:t>This project aims to investigate effects of pore geometry on the self-diffusion of water in brown coal to improve the understanding of the dewatering behaviour of brown coal, resulting in geoengineering properties. The analysis is in molecular scale and using Molecular Dynamics (MD) method. The major molecules in the experiment are flexible SPC water molecules and brown coal molecules created by Kumagai</w:t>
      </w:r>
      <w:r w:rsidRPr="00D926DD">
        <w:rPr>
          <w:i/>
          <w:noProof/>
          <w:sz w:val="20"/>
          <w:szCs w:val="20"/>
        </w:rPr>
        <w:t xml:space="preserve"> et al.</w:t>
      </w:r>
      <w:r w:rsidRPr="00D926DD">
        <w:rPr>
          <w:noProof/>
          <w:sz w:val="20"/>
          <w:szCs w:val="20"/>
        </w:rPr>
        <w:t xml:space="preserve"> (1999). The variable of the experiments are pore shapes, water contents and types of brown coal. The data including quantity of hydrogen-bond, self-diffusion of water, Radial Distribution foundation (RDF) and shear viscosity and density profile are expected after the experiment. We anticipate deriving the relationships between the rheological behaviour of water in brown coal and other parameters including the pore geometry, quantity and strength of bonds.</w:t>
      </w:r>
    </w:p>
    <w:p w:rsidR="00D926DD" w:rsidRDefault="00D926DD" w:rsidP="00D926DD">
      <w:pPr>
        <w:rPr>
          <w:b/>
          <w:noProof/>
        </w:rPr>
      </w:pPr>
    </w:p>
    <w:p w:rsidR="00D926DD" w:rsidRPr="00992B72" w:rsidRDefault="00D926DD" w:rsidP="00D926DD">
      <w:r w:rsidRPr="00992B72">
        <w:rPr>
          <w:b/>
          <w:noProof/>
        </w:rPr>
        <w:t>Alexander</w:t>
      </w:r>
      <w:r w:rsidRPr="00992B72">
        <w:rPr>
          <w:b/>
        </w:rPr>
        <w:t xml:space="preserve"> </w:t>
      </w:r>
      <w:r w:rsidRPr="00992B72">
        <w:rPr>
          <w:b/>
          <w:noProof/>
        </w:rPr>
        <w:t>Kostas</w:t>
      </w:r>
      <w:r w:rsidRPr="00992B72">
        <w:t xml:space="preserve"> (</w:t>
      </w:r>
      <w:r w:rsidRPr="00992B72">
        <w:rPr>
          <w:noProof/>
        </w:rPr>
        <w:t>Monash University</w:t>
      </w:r>
      <w:r w:rsidRPr="00992B72">
        <w:t xml:space="preserve">, </w:t>
      </w:r>
      <w:r w:rsidRPr="00992B72">
        <w:rPr>
          <w:noProof/>
        </w:rPr>
        <w:t>Australia</w:t>
      </w:r>
      <w:r w:rsidRPr="00992B72">
        <w:t>)</w:t>
      </w:r>
    </w:p>
    <w:p w:rsidR="00D926DD" w:rsidRPr="00992B72" w:rsidRDefault="00D926DD" w:rsidP="00D926DD">
      <w:r w:rsidRPr="00992B72">
        <w:rPr>
          <w:i/>
          <w:noProof/>
        </w:rPr>
        <w:t>The Batwa People as the First Refugees of the Global Conservation Movement</w:t>
      </w:r>
    </w:p>
    <w:p w:rsidR="00D926DD" w:rsidRPr="00992B72" w:rsidRDefault="00D926DD" w:rsidP="00D926DD">
      <w:pPr>
        <w:rPr>
          <w:noProof/>
        </w:rPr>
      </w:pPr>
      <w:r w:rsidRPr="00992B72">
        <w:rPr>
          <w:noProof/>
        </w:rPr>
        <w:t>The Batwa of Central Africa are a marginalised peoples that primarily consist of forest-dwelling hunter-gatherers. The Batwa are particularly interesting to the field of indigenous studies because they appear be the world’s first example of ‘conservation refugees’: refugees of the environmental protection movement.</w:t>
      </w:r>
    </w:p>
    <w:p w:rsidR="00D926DD" w:rsidRPr="00992B72" w:rsidRDefault="00D926DD" w:rsidP="00D926DD">
      <w:pPr>
        <w:rPr>
          <w:noProof/>
        </w:rPr>
      </w:pPr>
      <w:r w:rsidRPr="00992B72">
        <w:rPr>
          <w:noProof/>
        </w:rPr>
        <w:t>Generally, it is known that the positive impact of international bodies is often minimal when it comes to indigenous rights in Africa, with small victories outweighed by entrenched legal and cultural discrimination against hunter-gatherer groups. However, what has not been heavily explored is that relying on the international sphere can sometimes be dangerous for indigenous groups as other, more influential movements can work against indigenous peoples. In the case of the Batwa, the international conservation movement – in seeking to protect a species of gorilla – evicted the Batwa from their ancestral land where they had dwelt for tens of thousands of years. They have since been rendered homeless and practically stateless, with nowhere to live or hunt or continue their way of life.</w:t>
      </w:r>
    </w:p>
    <w:p w:rsidR="00D926DD" w:rsidRPr="00992B72" w:rsidRDefault="00D926DD" w:rsidP="00D926DD">
      <w:r w:rsidRPr="00992B72">
        <w:rPr>
          <w:noProof/>
        </w:rPr>
        <w:t>By analysing this example from the perspective of a number of different sources, I have come to two conclusions. Firstly, the consequences for indigenous peoples must be a primary concern of environmental conservation groups in future conservation projects if they are to retain their social capital as truly ethical organisations. Secondly, the example of the Batwa must be a warning for indigenous rights groups to not rely too heavily on environmental groups to protect indigenous interests.</w:t>
      </w:r>
    </w:p>
    <w:p w:rsidR="00D926DD" w:rsidRDefault="00D926DD" w:rsidP="00D926DD"/>
    <w:p w:rsidR="00A407B0" w:rsidRDefault="00A407B0" w:rsidP="00D926DD"/>
    <w:p w:rsidR="00A407B0" w:rsidRPr="00992B72" w:rsidRDefault="00A407B0" w:rsidP="00D926DD"/>
    <w:p w:rsidR="00D926DD" w:rsidRPr="00992B72" w:rsidRDefault="00D926DD" w:rsidP="00D926DD">
      <w:r w:rsidRPr="00992B72">
        <w:rPr>
          <w:b/>
          <w:noProof/>
        </w:rPr>
        <w:lastRenderedPageBreak/>
        <w:t>Yunxin</w:t>
      </w:r>
      <w:r w:rsidRPr="00992B72">
        <w:rPr>
          <w:b/>
        </w:rPr>
        <w:t xml:space="preserve"> </w:t>
      </w:r>
      <w:r w:rsidRPr="00992B72">
        <w:rPr>
          <w:b/>
          <w:noProof/>
        </w:rPr>
        <w:t>Xiao</w:t>
      </w:r>
      <w:r w:rsidRPr="00992B72">
        <w:t xml:space="preserve"> (</w:t>
      </w:r>
      <w:r w:rsidRPr="00992B72">
        <w:rPr>
          <w:noProof/>
        </w:rPr>
        <w:t>Monash University</w:t>
      </w:r>
      <w:r w:rsidRPr="00992B72">
        <w:t xml:space="preserve">, </w:t>
      </w:r>
      <w:r w:rsidRPr="00992B72">
        <w:rPr>
          <w:noProof/>
        </w:rPr>
        <w:t>Australia</w:t>
      </w:r>
      <w:r w:rsidRPr="00992B72">
        <w:t>)</w:t>
      </w:r>
      <w:r>
        <w:br/>
      </w:r>
      <w:r w:rsidRPr="00992B72">
        <w:rPr>
          <w:i/>
          <w:noProof/>
        </w:rPr>
        <w:t>Investigation of Targeted Delivery of Drug Nanocrystal Loaded Liposomes by Azide-Cyclooctyne Functionalisation to Cancer Cells</w:t>
      </w:r>
    </w:p>
    <w:p w:rsidR="00D926DD" w:rsidRPr="00D926DD" w:rsidRDefault="00D926DD" w:rsidP="00D926DD">
      <w:pPr>
        <w:rPr>
          <w:noProof/>
          <w:sz w:val="20"/>
          <w:szCs w:val="20"/>
        </w:rPr>
      </w:pPr>
      <w:r w:rsidRPr="00D926DD">
        <w:rPr>
          <w:noProof/>
          <w:sz w:val="20"/>
          <w:szCs w:val="20"/>
        </w:rPr>
        <w:t>Liposomes are drug delivery carriers constructed by phospholipid bilayers. They are able to accommodate a high dose of drug nanocrystals and achieve targeted delivery by surface modification. Click chemistry is a type of chemistry reaction that is fast and has high yield, and azide and cyclooctyne are one pair of this complementary click chemistry functional groups. In the literature, more research needs to be done on combining the idea of loading nanocrystal drugs and functionalising click chemistry groups to liposome to achieve targeted delivery. By doing that, side effects of cancer treatment can be minimised and administration frequency can be largely reduced.</w:t>
      </w:r>
    </w:p>
    <w:p w:rsidR="00D926DD" w:rsidRPr="00D926DD" w:rsidRDefault="00D926DD" w:rsidP="00D926DD">
      <w:pPr>
        <w:rPr>
          <w:noProof/>
          <w:sz w:val="20"/>
          <w:szCs w:val="20"/>
        </w:rPr>
      </w:pPr>
      <w:r w:rsidRPr="00D926DD">
        <w:rPr>
          <w:noProof/>
          <w:sz w:val="20"/>
          <w:szCs w:val="20"/>
        </w:rPr>
        <w:t>Azide-functionalised phospholipids will be used to make liposomes with a high concentration of drug encapsulation. The drug will then be crystallised by the freeze–thaw method. Dynamic light scattering, cryogenic transmission electron microscopy, wide angle X-ray scattering and size exclusion chromatography will be used to determine the particle size, visualise the nanocrystals, exam the physical status of the nanocrystals and determine the amount of active azide groups on the liposome surface. After that, cells will be functionalised with cyclooctyne, which are then used to test the targeted efficiency of azide-functionalised liposomes. Lastly, the binding of liposome to cell surface will be quantified, and also the intracellular drug concentration.</w:t>
      </w:r>
    </w:p>
    <w:p w:rsidR="00D926DD" w:rsidRPr="00D926DD" w:rsidRDefault="00D926DD" w:rsidP="00D926DD">
      <w:pPr>
        <w:rPr>
          <w:sz w:val="20"/>
          <w:szCs w:val="20"/>
        </w:rPr>
      </w:pPr>
      <w:r w:rsidRPr="00D926DD">
        <w:rPr>
          <w:noProof/>
          <w:sz w:val="20"/>
          <w:szCs w:val="20"/>
        </w:rPr>
        <w:t>By successfully validating the method, this model provides a great potential to boost cancer treatment by improving targeted delivery efficiency and decreasing side effects.</w:t>
      </w:r>
    </w:p>
    <w:p w:rsidR="00E41C7B" w:rsidRPr="008F0D2E" w:rsidRDefault="00E41C7B" w:rsidP="00DD7B70"/>
    <w:p w:rsidR="00E549C4" w:rsidRPr="008F0D2E" w:rsidRDefault="00E549C4" w:rsidP="002759C1">
      <w:pPr>
        <w:pStyle w:val="Heading2"/>
      </w:pPr>
      <w:bookmarkStart w:id="21" w:name="_Toc501711908"/>
      <w:r w:rsidRPr="008F0D2E">
        <w:t xml:space="preserve">Session 4C (Monash </w:t>
      </w:r>
      <w:r w:rsidR="00D23BC9">
        <w:t>University</w:t>
      </w:r>
      <w:r w:rsidR="00E41C7B">
        <w:t xml:space="preserve"> </w:t>
      </w:r>
      <w:r w:rsidRPr="008F0D2E">
        <w:t>Australia &amp; N</w:t>
      </w:r>
      <w:r w:rsidR="00E41C7B">
        <w:t xml:space="preserve">anyang </w:t>
      </w:r>
      <w:r w:rsidRPr="008F0D2E">
        <w:t>T</w:t>
      </w:r>
      <w:r w:rsidR="00E41C7B">
        <w:t xml:space="preserve">echnological </w:t>
      </w:r>
      <w:r w:rsidRPr="008F0D2E">
        <w:t>U</w:t>
      </w:r>
      <w:r w:rsidR="00E41C7B">
        <w:t>niversity, Singapore</w:t>
      </w:r>
      <w:r w:rsidRPr="008F0D2E">
        <w:t>)</w:t>
      </w:r>
      <w:bookmarkEnd w:id="21"/>
      <w:r w:rsidRPr="008F0D2E">
        <w:t xml:space="preserve"> </w:t>
      </w:r>
    </w:p>
    <w:p w:rsidR="0098261D" w:rsidRPr="002759C1" w:rsidRDefault="00E41C7B" w:rsidP="00DD7B70">
      <w:pPr>
        <w:rPr>
          <w:rStyle w:val="SubtleEmphasis"/>
        </w:rPr>
      </w:pPr>
      <w:r w:rsidRPr="002759C1">
        <w:rPr>
          <w:rStyle w:val="SubtleEmphasis"/>
        </w:rPr>
        <w:t xml:space="preserve">Theme: </w:t>
      </w:r>
      <w:r w:rsidR="00D926DD" w:rsidRPr="00D926DD">
        <w:rPr>
          <w:rStyle w:val="SubtleEmphasis"/>
        </w:rPr>
        <w:t>People, Culture &amp; Environment</w:t>
      </w:r>
    </w:p>
    <w:p w:rsidR="00864587" w:rsidRDefault="00864587" w:rsidP="00D926DD">
      <w:pPr>
        <w:rPr>
          <w:b/>
          <w:noProof/>
        </w:rPr>
      </w:pPr>
    </w:p>
    <w:p w:rsidR="00D926DD" w:rsidRPr="00992B72" w:rsidRDefault="00D926DD" w:rsidP="00D926DD">
      <w:r w:rsidRPr="00992B72">
        <w:rPr>
          <w:b/>
          <w:noProof/>
        </w:rPr>
        <w:t>Stephen</w:t>
      </w:r>
      <w:r w:rsidRPr="00992B72">
        <w:rPr>
          <w:b/>
        </w:rPr>
        <w:t xml:space="preserve"> </w:t>
      </w:r>
      <w:r w:rsidRPr="00992B72">
        <w:rPr>
          <w:b/>
          <w:noProof/>
        </w:rPr>
        <w:t>Piva</w:t>
      </w:r>
      <w:r w:rsidRPr="00992B72">
        <w:t xml:space="preserve"> (</w:t>
      </w:r>
      <w:r w:rsidRPr="00992B72">
        <w:rPr>
          <w:noProof/>
        </w:rPr>
        <w:t>Monash University</w:t>
      </w:r>
      <w:r w:rsidRPr="00992B72">
        <w:t xml:space="preserve">, </w:t>
      </w:r>
      <w:r w:rsidRPr="00992B72">
        <w:rPr>
          <w:noProof/>
        </w:rPr>
        <w:t>Australia</w:t>
      </w:r>
      <w:r w:rsidRPr="00992B72">
        <w:t>)</w:t>
      </w:r>
    </w:p>
    <w:p w:rsidR="00D926DD" w:rsidRPr="00992B72" w:rsidRDefault="00D926DD" w:rsidP="00D926DD">
      <w:r w:rsidRPr="00992B72">
        <w:rPr>
          <w:i/>
          <w:noProof/>
        </w:rPr>
        <w:t>Constraining the Stratigraphic Boundaries of the Late Cretaceous in Greater Zealandia</w:t>
      </w:r>
    </w:p>
    <w:p w:rsidR="00D926DD" w:rsidRPr="00D926DD" w:rsidRDefault="00D926DD" w:rsidP="00D926DD">
      <w:pPr>
        <w:rPr>
          <w:sz w:val="20"/>
          <w:szCs w:val="20"/>
        </w:rPr>
      </w:pPr>
      <w:r w:rsidRPr="00D926DD">
        <w:rPr>
          <w:noProof/>
          <w:sz w:val="20"/>
          <w:szCs w:val="20"/>
        </w:rPr>
        <w:t xml:space="preserve">The fossilised remnants of the highest southern palaeo-latitude (~70–80˚S) forest studied to date from the Late Cretaceous are preserved within the Tupuangi Formation located on Pitt Island, New Zealand. Analysis of the preserved flora, pollen and fluvio-deltaic sediments of this succession has enabled chronostratigraphic boundaries to be established for Greater Zealandia. In the absence of lithological evidence, this study applied a new method of chemostratigraphic correlation in order to constrain these boundaries. Global type sections of the Cenomanian–Turonian boundary (93.9 million years ago) preserve a distinct positive excursion within stable carbon isotopes (δ13C) attributed to Oceanic Anoxic Event 2 (OAE-2). This could be correlated with the δ13C signature extracted from coalified leaf impressions of the dominant taxon, </w:t>
      </w:r>
      <w:r w:rsidRPr="00D926DD">
        <w:rPr>
          <w:i/>
          <w:noProof/>
          <w:sz w:val="20"/>
          <w:szCs w:val="20"/>
        </w:rPr>
        <w:t>Cupressaceae sp. 1</w:t>
      </w:r>
      <w:r w:rsidRPr="00D926DD">
        <w:rPr>
          <w:noProof/>
          <w:sz w:val="20"/>
          <w:szCs w:val="20"/>
        </w:rPr>
        <w:t>, collected at semi-regular stratigraphic intervals (3–8m) across an approximately 400m long section of the Tupuangi Formation. These leaves were isolated via the manual preparation techniques of dégagement and sieving from bulk samples. Following the removal of adhering carbon contaminants with hydrochloric acid, the fossilised material was dried and δ13C levels were analysed using elemental analysis isotope ratio mass spectrometry (EA-IRMS). The preliminary values ranged between -23‰ and -28‰, which are typical of those obtained for C3-type plants. Statistical analyses of this data were performed to ensure that the δ13C values obtained were accurate, facilitating comparisons with global type sections. Successful correlation of these data sets will allow precise ages to be assigned to the Tupuangi Formation and this method could subsequently be applied to other terrestrial sequences.</w:t>
      </w:r>
    </w:p>
    <w:p w:rsidR="00D926DD" w:rsidRDefault="00D926DD" w:rsidP="00D926DD">
      <w:pPr>
        <w:rPr>
          <w:b/>
          <w:noProof/>
        </w:rPr>
      </w:pPr>
    </w:p>
    <w:p w:rsidR="00D926DD" w:rsidRPr="00992B72" w:rsidRDefault="00D926DD" w:rsidP="00D926DD">
      <w:r w:rsidRPr="00992B72">
        <w:rPr>
          <w:b/>
          <w:noProof/>
        </w:rPr>
        <w:lastRenderedPageBreak/>
        <w:t>Madeleine</w:t>
      </w:r>
      <w:r w:rsidRPr="00992B72">
        <w:rPr>
          <w:b/>
        </w:rPr>
        <w:t xml:space="preserve"> </w:t>
      </w:r>
      <w:r w:rsidRPr="00992B72">
        <w:rPr>
          <w:b/>
          <w:noProof/>
        </w:rPr>
        <w:t>de Jong</w:t>
      </w:r>
      <w:r w:rsidRPr="00992B72">
        <w:t xml:space="preserve"> (</w:t>
      </w:r>
      <w:r w:rsidRPr="00992B72">
        <w:rPr>
          <w:noProof/>
        </w:rPr>
        <w:t>Monash University</w:t>
      </w:r>
      <w:r w:rsidRPr="00992B72">
        <w:t xml:space="preserve">, </w:t>
      </w:r>
      <w:r w:rsidRPr="00992B72">
        <w:rPr>
          <w:noProof/>
        </w:rPr>
        <w:t>Australia</w:t>
      </w:r>
      <w:r w:rsidRPr="00992B72">
        <w:t>)</w:t>
      </w:r>
    </w:p>
    <w:p w:rsidR="00D926DD" w:rsidRPr="00992B72" w:rsidRDefault="00D926DD" w:rsidP="00D926DD">
      <w:r w:rsidRPr="00992B72">
        <w:rPr>
          <w:i/>
          <w:noProof/>
        </w:rPr>
        <w:t>Does the Rearing Environment Influence Behavioural Variation and Behavioural Syndrome Structure in Rainforest Sunskinks?</w:t>
      </w:r>
    </w:p>
    <w:p w:rsidR="00D926DD" w:rsidRPr="001145DF" w:rsidRDefault="00D926DD" w:rsidP="00D926DD">
      <w:pPr>
        <w:rPr>
          <w:sz w:val="20"/>
          <w:szCs w:val="20"/>
        </w:rPr>
      </w:pPr>
      <w:r w:rsidRPr="001145DF">
        <w:rPr>
          <w:noProof/>
          <w:sz w:val="20"/>
          <w:szCs w:val="20"/>
        </w:rPr>
        <w:t>Variation in many species’ behavioural phenotypes influences their potential to adapt and evolve to novel challenges, and therefore their ability to persist in the face of environmental change. Despite a surge in research describing behavioural phenotypes – termed animal personality or behavioural syndromes – and their ecological consequences, uncertainty surrounds which factors contribute to developing and maintaining animal personality and its variation. I therefore investigated how the rearing environment influences the development of behavioural variation and behavioural syndromes in laboratory- and field-reared rainforest sunskinks (</w:t>
      </w:r>
      <w:r w:rsidRPr="001145DF">
        <w:rPr>
          <w:i/>
          <w:noProof/>
          <w:sz w:val="20"/>
          <w:szCs w:val="20"/>
        </w:rPr>
        <w:t>Lampropholis coggeri</w:t>
      </w:r>
      <w:r w:rsidRPr="001145DF">
        <w:rPr>
          <w:noProof/>
          <w:sz w:val="20"/>
          <w:szCs w:val="20"/>
        </w:rPr>
        <w:t>). I measured individuals for their activity, exploratory, sociability and boldness behaviour, and compared behavioural variation, repeatability and behavioural syndrome structure between generations. Although there were few differences in repeatability between rearing environments, skinks reared in the laboratory were bolder and had greater behavioural variation than those reared in the field. This suggests that the conditions experienced in captivity may be sufficient to cause increased between-individual variation in rainforest sunskinks, potentially resulting from novelty or relaxed selection pressures. Additionally, laboratory-reared skinks also exhibited an activity-sociability syndrome, whereas field-reared skinks did not exhibit associations between different behaviours. This was driven by differences in social behaviour between skinks reared in different environments, with increased variation in the laboratory-reared skinks, likely driven by differences in the structure of the social environments. As both groups had been housed in the laboratory for a considerable time, my results highlight the importance of the timing of experiences – particularly during early development – in generating behavioural variation.</w:t>
      </w:r>
    </w:p>
    <w:p w:rsidR="0027233B" w:rsidRDefault="0027233B" w:rsidP="00D926DD">
      <w:pPr>
        <w:rPr>
          <w:sz w:val="20"/>
        </w:rPr>
      </w:pPr>
    </w:p>
    <w:p w:rsidR="00D926DD" w:rsidRPr="00992B72" w:rsidRDefault="00D926DD" w:rsidP="00D926DD">
      <w:r w:rsidRPr="00992B72">
        <w:rPr>
          <w:b/>
          <w:noProof/>
        </w:rPr>
        <w:t>En Qi</w:t>
      </w:r>
      <w:r w:rsidRPr="00992B72">
        <w:rPr>
          <w:b/>
        </w:rPr>
        <w:t xml:space="preserve"> </w:t>
      </w:r>
      <w:r w:rsidRPr="00992B72">
        <w:rPr>
          <w:b/>
          <w:noProof/>
        </w:rPr>
        <w:t>Lim</w:t>
      </w:r>
      <w:r w:rsidRPr="00992B72">
        <w:t xml:space="preserve"> (</w:t>
      </w:r>
      <w:r w:rsidRPr="00992B72">
        <w:rPr>
          <w:noProof/>
        </w:rPr>
        <w:t>Nanyang Technological University (NTU)</w:t>
      </w:r>
      <w:r w:rsidRPr="00992B72">
        <w:t xml:space="preserve">, </w:t>
      </w:r>
      <w:r w:rsidRPr="00992B72">
        <w:rPr>
          <w:noProof/>
        </w:rPr>
        <w:t>Singapore</w:t>
      </w:r>
      <w:r w:rsidRPr="00992B72">
        <w:t>)</w:t>
      </w:r>
    </w:p>
    <w:p w:rsidR="00D926DD" w:rsidRPr="00992B72" w:rsidRDefault="00D926DD" w:rsidP="00D926DD">
      <w:r w:rsidRPr="00992B72">
        <w:rPr>
          <w:i/>
          <w:noProof/>
        </w:rPr>
        <w:t>The Role of Geographical Investigations in Developing Students’ Cognitive Thinking</w:t>
      </w:r>
    </w:p>
    <w:p w:rsidR="00D926DD" w:rsidRPr="00D926DD" w:rsidRDefault="00D926DD" w:rsidP="00D926DD">
      <w:pPr>
        <w:rPr>
          <w:noProof/>
          <w:sz w:val="20"/>
          <w:szCs w:val="20"/>
        </w:rPr>
      </w:pPr>
      <w:r w:rsidRPr="00D926DD">
        <w:rPr>
          <w:noProof/>
          <w:sz w:val="20"/>
          <w:szCs w:val="20"/>
        </w:rPr>
        <w:t>Worldwide, there has been an increasing shift in education for more enquiry-based learning to equip students with skills for the future. In Singapore, Geographical Investigations (GI) has been introduced as a form of geographical enquiry, which not only provides students with opportunities to apply geographical knowledge and skills, but also develops their 21st Century competencies (such as critical thinking) through fieldwork. Fieldwork is an essential part of geography: It deepens students’ understanding of content and aids in their affective, social and cognitive development. However, local research on the value of geography fieldwork in influencing students’ cognitive thinking is scant. This paper examines the role of GI in developing secondary school students’ critical thinking and cognitive skills in geography. This study used a case-study based approach: Secondary 2 students in one secondary school were interviewed before and after their GI. Pre- and post-GI questionnaires were administered to the same students, and teacher interviews were also conducted to gather a more comprehensive understanding of students’ learning in GI. Data was analysed using an adapted model of Bloom’s Taxonomy as a thinking framework. Findings indicated that all students showed a marked improvement in higher-order cognitive skills after GI. This improvement was twofold: Students not only developed higher-order cognitive thinking skills but also showed deeper thinking at some cognitive levels. The paper concludes that GI develops students’ critical thinking and enhances their cognitive abilities when dealing with geographical data. Suggestions for future research are offered.</w:t>
      </w:r>
    </w:p>
    <w:p w:rsidR="002759C1" w:rsidRDefault="002759C1" w:rsidP="00DD7B70">
      <w:pPr>
        <w:rPr>
          <w:sz w:val="20"/>
        </w:rPr>
      </w:pPr>
    </w:p>
    <w:p w:rsidR="00A407B0" w:rsidRDefault="00A407B0" w:rsidP="00DD7B70">
      <w:pPr>
        <w:rPr>
          <w:sz w:val="20"/>
        </w:rPr>
      </w:pPr>
    </w:p>
    <w:p w:rsidR="002759C1" w:rsidRDefault="002759C1" w:rsidP="00DD7B70">
      <w:pPr>
        <w:rPr>
          <w:sz w:val="20"/>
        </w:rPr>
      </w:pPr>
    </w:p>
    <w:p w:rsidR="00D926DD" w:rsidRDefault="00D926DD">
      <w:pPr>
        <w:pStyle w:val="Heading2"/>
      </w:pPr>
      <w:bookmarkStart w:id="22" w:name="_Toc501711909"/>
      <w:r>
        <w:lastRenderedPageBreak/>
        <w:t>Session 4D (Monash University, Australia &amp; Nanyang Techn</w:t>
      </w:r>
      <w:r w:rsidR="00615697">
        <w:t>ological University</w:t>
      </w:r>
      <w:r>
        <w:t>, Singapore)</w:t>
      </w:r>
      <w:bookmarkEnd w:id="22"/>
    </w:p>
    <w:p w:rsidR="00D926DD" w:rsidRDefault="00D926DD" w:rsidP="00D926DD">
      <w:pPr>
        <w:rPr>
          <w:i/>
        </w:rPr>
      </w:pPr>
      <w:r>
        <w:rPr>
          <w:i/>
        </w:rPr>
        <w:t xml:space="preserve">Theme: </w:t>
      </w:r>
      <w:r w:rsidR="00D119C6" w:rsidRPr="00D119C6">
        <w:rPr>
          <w:i/>
        </w:rPr>
        <w:t>Chemical &amp; Biological Sciences</w:t>
      </w:r>
    </w:p>
    <w:p w:rsidR="00864587" w:rsidRDefault="00864587" w:rsidP="00D119C6">
      <w:pPr>
        <w:rPr>
          <w:b/>
          <w:noProof/>
        </w:rPr>
      </w:pPr>
    </w:p>
    <w:p w:rsidR="00D119C6" w:rsidRPr="00992B72" w:rsidRDefault="00D119C6" w:rsidP="00D119C6">
      <w:r w:rsidRPr="00992B72">
        <w:rPr>
          <w:b/>
          <w:noProof/>
        </w:rPr>
        <w:t>Peter</w:t>
      </w:r>
      <w:r w:rsidRPr="00992B72">
        <w:rPr>
          <w:b/>
        </w:rPr>
        <w:t xml:space="preserve"> </w:t>
      </w:r>
      <w:r w:rsidRPr="00992B72">
        <w:rPr>
          <w:b/>
          <w:noProof/>
        </w:rPr>
        <w:t>Halat</w:t>
      </w:r>
      <w:r w:rsidRPr="00992B72">
        <w:t xml:space="preserve"> (</w:t>
      </w:r>
      <w:r w:rsidRPr="00992B72">
        <w:rPr>
          <w:noProof/>
        </w:rPr>
        <w:t>Monash University</w:t>
      </w:r>
      <w:r w:rsidRPr="00992B72">
        <w:t xml:space="preserve">, </w:t>
      </w:r>
      <w:r w:rsidRPr="00992B72">
        <w:rPr>
          <w:noProof/>
        </w:rPr>
        <w:t>Australia</w:t>
      </w:r>
      <w:r w:rsidRPr="00992B72">
        <w:t>)</w:t>
      </w:r>
    </w:p>
    <w:p w:rsidR="00D119C6" w:rsidRPr="00992B72" w:rsidRDefault="00D119C6" w:rsidP="00D119C6">
      <w:r w:rsidRPr="00992B72">
        <w:rPr>
          <w:i/>
          <w:noProof/>
        </w:rPr>
        <w:t>Simulating Hydrogen Adsorption of Metal-Organic Frameworks with Calculations on Finite-Size Clusters</w:t>
      </w:r>
    </w:p>
    <w:p w:rsidR="00D119C6" w:rsidRPr="00D119C6" w:rsidRDefault="00D119C6" w:rsidP="00D119C6">
      <w:pPr>
        <w:rPr>
          <w:sz w:val="20"/>
          <w:szCs w:val="20"/>
        </w:rPr>
      </w:pPr>
      <w:r w:rsidRPr="00D119C6">
        <w:rPr>
          <w:noProof/>
          <w:sz w:val="20"/>
          <w:szCs w:val="20"/>
        </w:rPr>
        <w:t>Deuterium is a desired material both as a medicinal tracer and in heavy water nuclear power plants. Metal-organic frameworks such as M-MOF-74 have shown promising performance as energy-efficient substances for the separation of deuterium from gaseous hydrogen samples. Experimentally, a positive correlation between the translational vibrational frequency of an adsorbed hydrogen molecule and the deuterium separation effectiveness of M-MOF-74 has been suggested experimentally for different metals. The overall aim of this work is to complement the experimental trend with computational chemistry calculations. In this work, computational chemistry calculations are performed on a finite-sized cluster of M-MOF-74 for a variety of metals (M=Mg, Mn, Fe, Co, Ni, Cu, Zn). A secondary goal of this research is to examine the accuracy of performing calculations on finite-size clusters of metal-organic frameworks. Performing these calculations heavily reduces the computational resources required to perform calculations on metal-organic frameworks. Preliminary calculations of binding energies of a hydrogen molecule onto a single finite-size cluster show high accuracy, with deviations below the level of chemical accuracy. Calculations of adsorption frequencies should affirm the experimental trend. The successful application of theoretical calculations to confirm the experimental trend supports research into large-scale manufacture of metal-organic frameworks that can effectively isolate deuterium. Furthermore, this work may lead to increased accessibility of deuterium, which has prominent uses in chemistry, medicine and in nuclear power plants.</w:t>
      </w:r>
    </w:p>
    <w:p w:rsidR="00D119C6" w:rsidRDefault="00D119C6" w:rsidP="00D119C6">
      <w:pPr>
        <w:rPr>
          <w:b/>
          <w:noProof/>
        </w:rPr>
      </w:pPr>
    </w:p>
    <w:p w:rsidR="00D119C6" w:rsidRPr="00992B72" w:rsidRDefault="00D119C6" w:rsidP="00D119C6">
      <w:r w:rsidRPr="00992B72">
        <w:rPr>
          <w:b/>
          <w:noProof/>
        </w:rPr>
        <w:t>Madeline</w:t>
      </w:r>
      <w:r w:rsidRPr="00992B72">
        <w:rPr>
          <w:b/>
        </w:rPr>
        <w:t xml:space="preserve"> </w:t>
      </w:r>
      <w:r w:rsidRPr="00992B72">
        <w:rPr>
          <w:b/>
          <w:noProof/>
        </w:rPr>
        <w:t>Gordon</w:t>
      </w:r>
      <w:r w:rsidRPr="00992B72">
        <w:t xml:space="preserve"> (</w:t>
      </w:r>
      <w:r w:rsidRPr="00992B72">
        <w:rPr>
          <w:noProof/>
        </w:rPr>
        <w:t>Monash University</w:t>
      </w:r>
      <w:r w:rsidRPr="00992B72">
        <w:t xml:space="preserve">, </w:t>
      </w:r>
      <w:r w:rsidRPr="00992B72">
        <w:rPr>
          <w:noProof/>
        </w:rPr>
        <w:t>Australia</w:t>
      </w:r>
      <w:r w:rsidRPr="00992B72">
        <w:t>)</w:t>
      </w:r>
    </w:p>
    <w:p w:rsidR="00D119C6" w:rsidRPr="00992B72" w:rsidRDefault="00D119C6" w:rsidP="00D119C6">
      <w:r w:rsidRPr="00992B72">
        <w:rPr>
          <w:i/>
          <w:noProof/>
        </w:rPr>
        <w:t>An Evaluation of Novel Polymer-Containing Supported Noble Metal Catalysts</w:t>
      </w:r>
    </w:p>
    <w:p w:rsidR="00D119C6" w:rsidRPr="00D119C6" w:rsidRDefault="00D119C6" w:rsidP="00D119C6">
      <w:pPr>
        <w:rPr>
          <w:sz w:val="20"/>
          <w:szCs w:val="20"/>
        </w:rPr>
      </w:pPr>
      <w:r w:rsidRPr="00D119C6">
        <w:rPr>
          <w:noProof/>
          <w:sz w:val="20"/>
          <w:szCs w:val="20"/>
        </w:rPr>
        <w:t>The use of heterogeneous acid catalysts as a greener alternative to homogeneous protic acids is well documented, and the design of novel solid acid catalysts with improved effectiveness is of growing research interest. This paper investigates the acidic properties of polymer-containing supported noble metal catalysts through the esterification of acetic acid with methanol to form methyl acetate as a test reaction. These Nafion-based acidic catalysts, which were synthesised through an impregnation technique, showed poor catalytic activity when compared to commercial reference catalysts, including SAC-13, another Nafion-based catalyst. This study hence found that the acidic properties of the catalyst are dependent on the synthetic conditions, and that the impregnation technique does not provide heterogeneous catalysts with a high enough acid site strength for the esterification of acetic acid with methanol.</w:t>
      </w:r>
    </w:p>
    <w:p w:rsidR="00D119C6" w:rsidRDefault="00D119C6" w:rsidP="00D119C6">
      <w:pPr>
        <w:rPr>
          <w:b/>
          <w:noProof/>
        </w:rPr>
      </w:pPr>
    </w:p>
    <w:p w:rsidR="00D119C6" w:rsidRPr="00992B72" w:rsidRDefault="00D119C6" w:rsidP="00D119C6">
      <w:r w:rsidRPr="00992B72">
        <w:rPr>
          <w:b/>
          <w:noProof/>
        </w:rPr>
        <w:t>Hong Hai</w:t>
      </w:r>
      <w:r w:rsidRPr="00992B72">
        <w:rPr>
          <w:b/>
        </w:rPr>
        <w:t xml:space="preserve"> </w:t>
      </w:r>
      <w:r w:rsidRPr="00992B72">
        <w:rPr>
          <w:b/>
          <w:noProof/>
        </w:rPr>
        <w:t>Nguyen</w:t>
      </w:r>
      <w:r w:rsidRPr="00992B72">
        <w:t xml:space="preserve"> (</w:t>
      </w:r>
      <w:r w:rsidRPr="00992B72">
        <w:rPr>
          <w:noProof/>
        </w:rPr>
        <w:t>Nanyang Technological University (NTU)</w:t>
      </w:r>
      <w:r w:rsidRPr="00992B72">
        <w:t xml:space="preserve">, </w:t>
      </w:r>
      <w:r w:rsidRPr="00992B72">
        <w:rPr>
          <w:noProof/>
        </w:rPr>
        <w:t>Singapore</w:t>
      </w:r>
      <w:r w:rsidRPr="00992B72">
        <w:t>)</w:t>
      </w:r>
    </w:p>
    <w:p w:rsidR="00D119C6" w:rsidRPr="00992B72" w:rsidRDefault="00D119C6" w:rsidP="00D119C6">
      <w:r w:rsidRPr="00992B72">
        <w:rPr>
          <w:i/>
          <w:noProof/>
        </w:rPr>
        <w:t>Activity and Stability Optimisation of Surface-IrO2-rich RuxIr1-xO2 Nanocatalyst for the Oxygen Evolution Reaction in Acidic and Alkaline Medium</w:t>
      </w:r>
    </w:p>
    <w:p w:rsidR="00D119C6" w:rsidRDefault="00D119C6" w:rsidP="00D119C6">
      <w:pPr>
        <w:rPr>
          <w:noProof/>
        </w:rPr>
      </w:pPr>
      <w:r w:rsidRPr="00992B72">
        <w:rPr>
          <w:noProof/>
        </w:rPr>
        <w:t xml:space="preserve">Iridium (Ir) and ruthenium (Ru) oxide based are known as being among the best catalysts for the oxygen evolution reaction (OER). There have been many proposals so far to combine both IrO2 and RuO2 to make use of their advantages since the former performs a better electrochemical stability during an acidic OER process and the latter has an overall higher catalytic activity. In this work, the </w:t>
      </w:r>
      <w:r w:rsidRPr="00992B72">
        <w:rPr>
          <w:noProof/>
        </w:rPr>
        <w:lastRenderedPageBreak/>
        <w:t>surface-IrO2-rich RuxIr1-xO2 nanoparticles at the various mass ratio (x=0.3, 0.5, 0.7) have been synthesised to improve the catalytic stability while maintaining the high activity of RuO2 in both acidic and alkaline mediums. The surface-IrO2-rich RuxIr1-xO2 NPs have a particle size of 10nm and show better catalytic stability in comparison with the RuO2 mono-catalyst and mixed oxide IrO2-RuO2 NPs but still preserve the equivalent activity. Particularly, at x = 0.5, the specific OER activity of the surface-IrO2-rich Ru0.5Ir0.5O2 NPs is about 48.9uA.cm-2 at overpotential n = 0.22V in 0.1M HClO4 and 21.7uA.cm-2 at n = 0.27V in 0.1M KOH, which are higher than those of mixed oxide IrO2-RuO2 NPs, 19.5uA.cm-2 and 15.5uA.cm-2 in corresponding conditions. Furthermore, the surface-IrO2-rich Ru0.5Ir0.5O2 shows a more stable catalytic activity than the mixed oxide IrO2-RuO2 does, which is 38.6% activity loss compared to 40.2% in acid and 28% compared to 30.8% in alkaline. The OER activity and stability of the catalyst is mass-ratio dependent, which implies the possibility to fabricate the optimum catalyst structure for OER process.</w:t>
      </w:r>
    </w:p>
    <w:p w:rsidR="00F07773" w:rsidRPr="00992B72" w:rsidRDefault="00F07773" w:rsidP="00D119C6"/>
    <w:p w:rsidR="002759C1" w:rsidRDefault="002759C1" w:rsidP="002759C1">
      <w:pPr>
        <w:pStyle w:val="Heading1"/>
        <w:jc w:val="center"/>
      </w:pPr>
      <w:bookmarkStart w:id="23" w:name="_Toc501711910"/>
      <w:r>
        <w:t>SESSION 5</w:t>
      </w:r>
      <w:bookmarkEnd w:id="23"/>
    </w:p>
    <w:p w:rsidR="00E549C4" w:rsidRPr="008F0D2E" w:rsidRDefault="00E549C4" w:rsidP="002759C1">
      <w:pPr>
        <w:pStyle w:val="Heading2"/>
      </w:pPr>
      <w:bookmarkStart w:id="24" w:name="_Toc501711911"/>
      <w:r w:rsidRPr="008F0D2E">
        <w:t xml:space="preserve">Session 5A (Monash </w:t>
      </w:r>
      <w:r w:rsidR="001B0A9E">
        <w:t xml:space="preserve">University, </w:t>
      </w:r>
      <w:r w:rsidRPr="008F0D2E">
        <w:t>Australia &amp; Kyushu</w:t>
      </w:r>
      <w:r w:rsidR="001B0A9E">
        <w:t xml:space="preserve"> University, Japan</w:t>
      </w:r>
      <w:r w:rsidRPr="008F0D2E">
        <w:t>)</w:t>
      </w:r>
      <w:bookmarkEnd w:id="24"/>
      <w:r w:rsidRPr="008F0D2E">
        <w:t xml:space="preserve"> </w:t>
      </w:r>
    </w:p>
    <w:p w:rsidR="00E549C4" w:rsidRPr="002759C1" w:rsidRDefault="001B0A9E" w:rsidP="00DD7B70">
      <w:pPr>
        <w:rPr>
          <w:rStyle w:val="SubtleEmphasis"/>
        </w:rPr>
      </w:pPr>
      <w:r w:rsidRPr="002759C1">
        <w:rPr>
          <w:rStyle w:val="SubtleEmphasis"/>
        </w:rPr>
        <w:t xml:space="preserve">Theme: </w:t>
      </w:r>
      <w:r w:rsidR="00D119C6" w:rsidRPr="00D119C6">
        <w:rPr>
          <w:rStyle w:val="SubtleEmphasis"/>
        </w:rPr>
        <w:t>Music &amp; Pop Culture</w:t>
      </w:r>
    </w:p>
    <w:p w:rsidR="00864587" w:rsidRDefault="00864587" w:rsidP="00D119C6">
      <w:pPr>
        <w:rPr>
          <w:b/>
          <w:noProof/>
        </w:rPr>
      </w:pPr>
    </w:p>
    <w:p w:rsidR="00D119C6" w:rsidRPr="00992B72" w:rsidRDefault="00D119C6" w:rsidP="00D119C6">
      <w:r w:rsidRPr="00992B72">
        <w:rPr>
          <w:b/>
          <w:noProof/>
        </w:rPr>
        <w:t>Isobel</w:t>
      </w:r>
      <w:r w:rsidRPr="00992B72">
        <w:rPr>
          <w:b/>
        </w:rPr>
        <w:t xml:space="preserve"> </w:t>
      </w:r>
      <w:r w:rsidRPr="00992B72">
        <w:rPr>
          <w:b/>
          <w:noProof/>
        </w:rPr>
        <w:t>Toogood</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Winners of the Eurovision Song Contest: Zeitgeists of Europe?</w:t>
      </w:r>
    </w:p>
    <w:p w:rsidR="00D119C6" w:rsidRPr="00D119C6" w:rsidRDefault="00D119C6" w:rsidP="00D119C6">
      <w:pPr>
        <w:rPr>
          <w:noProof/>
          <w:sz w:val="20"/>
          <w:szCs w:val="20"/>
        </w:rPr>
      </w:pPr>
      <w:r w:rsidRPr="00D119C6">
        <w:rPr>
          <w:noProof/>
          <w:sz w:val="20"/>
          <w:szCs w:val="20"/>
        </w:rPr>
        <w:t>First broadcast in 1956, The Eurovision Song Contest is one of the longest-running television shows of all time. A truly unique event, participating countries come together every year, perform a song and vote for their favourite acts, with the most popular song taking the top prize.</w:t>
      </w:r>
    </w:p>
    <w:p w:rsidR="00D119C6" w:rsidRPr="00D119C6" w:rsidRDefault="00D119C6" w:rsidP="00D119C6">
      <w:pPr>
        <w:rPr>
          <w:noProof/>
          <w:sz w:val="20"/>
          <w:szCs w:val="20"/>
        </w:rPr>
      </w:pPr>
      <w:r w:rsidRPr="00D119C6">
        <w:rPr>
          <w:noProof/>
          <w:sz w:val="20"/>
          <w:szCs w:val="20"/>
        </w:rPr>
        <w:t>But is there a deeper significance to the winners beyond their fabulous costumes and catchy songs?</w:t>
      </w:r>
    </w:p>
    <w:p w:rsidR="00D119C6" w:rsidRPr="00D119C6" w:rsidRDefault="00D119C6" w:rsidP="00D119C6">
      <w:pPr>
        <w:rPr>
          <w:noProof/>
          <w:sz w:val="20"/>
          <w:szCs w:val="20"/>
        </w:rPr>
      </w:pPr>
      <w:r w:rsidRPr="00D119C6">
        <w:rPr>
          <w:noProof/>
          <w:sz w:val="20"/>
          <w:szCs w:val="20"/>
        </w:rPr>
        <w:t>Over the lifespan of this competition, the post-war European identity has constantly been evolving – accommodating and challenging ideas around issues such as diplomacy, pan-European integration, national sovereignty, conflict and gender.</w:t>
      </w:r>
    </w:p>
    <w:p w:rsidR="00D119C6" w:rsidRPr="00D119C6" w:rsidRDefault="00D119C6" w:rsidP="00D119C6">
      <w:pPr>
        <w:rPr>
          <w:noProof/>
          <w:sz w:val="20"/>
          <w:szCs w:val="20"/>
        </w:rPr>
      </w:pPr>
      <w:r w:rsidRPr="00D119C6">
        <w:rPr>
          <w:noProof/>
          <w:sz w:val="20"/>
          <w:szCs w:val="20"/>
        </w:rPr>
        <w:t>By drawing connections between some of the acts that have won Eurovision and the political/social progress taking place in Europe at the time, this research will demonstrate that the way Europe votes in the Eurovision Song Contest is much more symbolic than just music, lights and glitter – it can indicate each countries’ acceptance of the values and ideas being represented in these winning acts, or even more broadly, an acceptance of the winning countries as part of Europe.</w:t>
      </w:r>
    </w:p>
    <w:p w:rsidR="00D119C6" w:rsidRPr="00D119C6" w:rsidRDefault="00D119C6" w:rsidP="00D119C6">
      <w:pPr>
        <w:rPr>
          <w:sz w:val="20"/>
          <w:szCs w:val="20"/>
        </w:rPr>
      </w:pPr>
      <w:r w:rsidRPr="00D119C6">
        <w:rPr>
          <w:noProof/>
          <w:sz w:val="20"/>
          <w:szCs w:val="20"/>
        </w:rPr>
        <w:t>Holistically, this research wishes to illustrate that the Eurovision Song Competition is a rich and valuable historical resource for understanding the evolution of how Europe identifies itself, as a progressive platform where countries can represent themselves on the European stage, and where social and political ideas can be understood and challenged in creative ways.</w:t>
      </w:r>
    </w:p>
    <w:p w:rsidR="0027233B" w:rsidRDefault="0027233B" w:rsidP="00DD7B70"/>
    <w:p w:rsidR="00D119C6" w:rsidRPr="00992B72" w:rsidRDefault="00D119C6" w:rsidP="00D119C6">
      <w:r w:rsidRPr="00992B72">
        <w:rPr>
          <w:b/>
          <w:noProof/>
        </w:rPr>
        <w:t>Katherine</w:t>
      </w:r>
      <w:r w:rsidRPr="00992B72">
        <w:rPr>
          <w:b/>
        </w:rPr>
        <w:t xml:space="preserve"> </w:t>
      </w:r>
      <w:r w:rsidRPr="00992B72">
        <w:rPr>
          <w:b/>
          <w:noProof/>
        </w:rPr>
        <w:t>Rozycki</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Sexism in Music Over Time</w:t>
      </w:r>
    </w:p>
    <w:p w:rsidR="00D119C6" w:rsidRPr="00D119C6" w:rsidRDefault="00D119C6" w:rsidP="00D119C6">
      <w:pPr>
        <w:rPr>
          <w:sz w:val="20"/>
          <w:szCs w:val="20"/>
        </w:rPr>
      </w:pPr>
      <w:r w:rsidRPr="00D119C6">
        <w:rPr>
          <w:noProof/>
          <w:sz w:val="20"/>
          <w:szCs w:val="20"/>
        </w:rPr>
        <w:t xml:space="preserve">Misogyny in music has recently been under scrutiny. Misandry, however, is often ignored, and previous studies have focused on a single year, or a certain era of music – yet there is no comparison between different points in time. Many believe that constant exposure to sexist ideas from media, such as music, ingrain these notions into our subconscious so that we all inevitably become gender-biased. Music is particularly important in </w:t>
      </w:r>
      <w:r w:rsidRPr="00D119C6">
        <w:rPr>
          <w:noProof/>
          <w:sz w:val="20"/>
          <w:szCs w:val="20"/>
        </w:rPr>
        <w:lastRenderedPageBreak/>
        <w:t>developing prejudice as it is the biggest art form in Australia. Music is also extremely popular worldwide, with consumption increasing every year. I will analyse the lyrics and music videos, where they are present, of the top 30 songs of every fifth year beginning with 1941 and finishing with 2016 for three types of sexism: hostile misogyny, hostile misandry and benevolent sexism. These results will be used to determine the trend in these references over time, such as the shift in the overall quantity as well as change in the type of sexist references. I will discover whether the increased awareness of sexism has influenced the content of music, or if it has not managed to permeate this industry yet. It is important to be aware of the development being made, as such prejudices affect how men and women are treated in wider society. Constant reinforcement of sexist views through various forms of media ensure that sexism will remain a part of our culture.</w:t>
      </w:r>
    </w:p>
    <w:p w:rsidR="00D119C6" w:rsidRDefault="00D119C6" w:rsidP="00DD7B70"/>
    <w:p w:rsidR="00D119C6" w:rsidRPr="00992B72" w:rsidRDefault="00D119C6" w:rsidP="00D119C6">
      <w:r w:rsidRPr="00992B72">
        <w:rPr>
          <w:b/>
          <w:noProof/>
        </w:rPr>
        <w:t>Stephanie</w:t>
      </w:r>
      <w:r w:rsidRPr="00992B72">
        <w:rPr>
          <w:b/>
        </w:rPr>
        <w:t xml:space="preserve"> </w:t>
      </w:r>
      <w:r w:rsidRPr="00992B72">
        <w:rPr>
          <w:b/>
          <w:noProof/>
        </w:rPr>
        <w:t>Brown</w:t>
      </w:r>
      <w:r w:rsidRPr="00992B72">
        <w:t xml:space="preserve"> (</w:t>
      </w:r>
      <w:r w:rsidRPr="00992B72">
        <w:rPr>
          <w:noProof/>
        </w:rPr>
        <w:t>Monash University</w:t>
      </w:r>
      <w:r w:rsidRPr="00992B72">
        <w:t xml:space="preserve">, </w:t>
      </w:r>
      <w:r w:rsidRPr="00992B72">
        <w:rPr>
          <w:noProof/>
        </w:rPr>
        <w:t>Australia</w:t>
      </w:r>
      <w:r w:rsidRPr="00992B72">
        <w:t>)</w:t>
      </w:r>
    </w:p>
    <w:p w:rsidR="00D119C6" w:rsidRPr="00992B72" w:rsidRDefault="00D119C6" w:rsidP="00D119C6">
      <w:r w:rsidRPr="00992B72">
        <w:rPr>
          <w:i/>
          <w:noProof/>
        </w:rPr>
        <w:t>‘I’m Alright Now’: Positive effects of music on young women</w:t>
      </w:r>
    </w:p>
    <w:p w:rsidR="00D119C6" w:rsidRPr="00D119C6" w:rsidRDefault="00D119C6" w:rsidP="00D119C6">
      <w:pPr>
        <w:rPr>
          <w:sz w:val="20"/>
          <w:szCs w:val="20"/>
        </w:rPr>
      </w:pPr>
      <w:r w:rsidRPr="00D119C6">
        <w:rPr>
          <w:noProof/>
          <w:sz w:val="20"/>
          <w:szCs w:val="20"/>
        </w:rPr>
        <w:t>Engagement with music has been studied by various disciplines. I conducted a study on the positive effects of engagement with music on young women. This research adds to existing literature regarding music and individuals, but covers new ground by discussing young Australian women and their emotional connection with music, where other research has focused more on the cognitive benefits of listening to music. I studied the relationship between music and emotion, and how it exists in a broader social context, theorising a connection between music and emotion. As part of a move to study emotion in a more sociological way, this research focuses on how individuals manage their emotion using music texts, and how they create connections with others based upon a relationship to these texts. I utilised a qualitative research design, conducting in-depth, face-to-face interviews that were semi-structured with young Australian women aged 17–25. Findings indicated that overall, engagement with music has a positive effect on young Australian women beyond a merely superficial interest. It creates a relationship between music and emotion that young women can utilise to better manage their own emotions, and assists in creating connections between individuals, fostering a sense of community among those who engage with music. This research is important as it helps to understand young Australian women and the positive effects of engagement with music. Young Australian women can use music to in their own lives, in managing and understanding their own emotions, and in creating connections with others.</w:t>
      </w:r>
    </w:p>
    <w:p w:rsidR="00D119C6" w:rsidRDefault="00D119C6" w:rsidP="00DD7B70"/>
    <w:p w:rsidR="00D119C6" w:rsidRPr="00D119C6" w:rsidRDefault="00D119C6" w:rsidP="00D119C6">
      <w:r w:rsidRPr="00992B72">
        <w:rPr>
          <w:b/>
        </w:rPr>
        <w:t>Motoyasu  Sato</w:t>
      </w:r>
      <w:r>
        <w:t xml:space="preserve"> (Kyushu University, Japan)</w:t>
      </w:r>
      <w:r>
        <w:br/>
      </w:r>
      <w:r w:rsidRPr="00992B72">
        <w:rPr>
          <w:i/>
        </w:rPr>
        <w:t>‘Cosplay’ Culture in Japan and Overseas</w:t>
      </w:r>
    </w:p>
    <w:p w:rsidR="00D119C6" w:rsidRPr="00D119C6" w:rsidRDefault="00D119C6" w:rsidP="00D119C6">
      <w:pPr>
        <w:rPr>
          <w:sz w:val="20"/>
          <w:szCs w:val="20"/>
        </w:rPr>
      </w:pPr>
      <w:r w:rsidRPr="00D119C6">
        <w:rPr>
          <w:sz w:val="20"/>
          <w:szCs w:val="20"/>
        </w:rPr>
        <w:t>The word ‘cosplay’ is known not only Japan and US but also many regions in the world. People enjoy wearing costumes and imitating others. They are called ‘cosplayers’. Through cosplay, many cosplayers become other people. They enjoy this activity in many ways: making costumes, taking photos, communicating with other cosplayers, and so on. In Japan, cosplay is very popular, with over 300,000 cosplayers nationwide. Therefore many events are held in Japan. The World Cosplay Summit is well known as the biggest international cosplay contest in Nagoya every year. Cosplayers from over the 30 countries join this contest. However, multi-layering among cosplayers is occurring behind such cosplay popularity now. Diversification of values and objectives of cosplayer sometimes causes conflict. Cosplay circumstances outside of Japan have the same points as within Japan, but differ in many ways. In this presentation, first of all, I explain cosplay circumstances both within and outside of Japan. After that, I consider both the common and different points about cosplay culture in Japan and overseas and finally discuss these factors.</w:t>
      </w:r>
    </w:p>
    <w:p w:rsidR="00D119C6" w:rsidRDefault="00D119C6" w:rsidP="00DD7B70"/>
    <w:p w:rsidR="00A407B0" w:rsidRPr="008F0D2E" w:rsidRDefault="00A407B0" w:rsidP="00DD7B70"/>
    <w:p w:rsidR="00E549C4" w:rsidRPr="008F0D2E" w:rsidRDefault="00E549C4" w:rsidP="00C23D0D">
      <w:pPr>
        <w:pStyle w:val="Heading2"/>
      </w:pPr>
      <w:bookmarkStart w:id="25" w:name="_Toc501711912"/>
      <w:r w:rsidRPr="008F0D2E">
        <w:lastRenderedPageBreak/>
        <w:t>Session 5B (Monash</w:t>
      </w:r>
      <w:r w:rsidR="001B0A9E">
        <w:t xml:space="preserve"> University,</w:t>
      </w:r>
      <w:r w:rsidRPr="008F0D2E">
        <w:t xml:space="preserve"> Australia &amp;</w:t>
      </w:r>
      <w:r w:rsidR="00D119C6">
        <w:t xml:space="preserve"> Sussex University, UK</w:t>
      </w:r>
      <w:r w:rsidRPr="008F0D2E">
        <w:t>)</w:t>
      </w:r>
      <w:bookmarkEnd w:id="25"/>
      <w:r w:rsidRPr="008F0D2E">
        <w:t xml:space="preserve"> </w:t>
      </w:r>
    </w:p>
    <w:p w:rsidR="0027233B" w:rsidRPr="00C23D0D" w:rsidRDefault="001B0A9E" w:rsidP="00DD7B70">
      <w:pPr>
        <w:rPr>
          <w:rStyle w:val="SubtleEmphasis"/>
        </w:rPr>
      </w:pPr>
      <w:r w:rsidRPr="00C23D0D">
        <w:rPr>
          <w:rStyle w:val="SubtleEmphasis"/>
        </w:rPr>
        <w:t xml:space="preserve">Theme: </w:t>
      </w:r>
      <w:r w:rsidR="00D119C6" w:rsidRPr="00D119C6">
        <w:rPr>
          <w:rStyle w:val="SubtleEmphasis"/>
        </w:rPr>
        <w:t>Language &amp; Political Cultures</w:t>
      </w:r>
    </w:p>
    <w:p w:rsidR="00D119C6" w:rsidRDefault="00D119C6" w:rsidP="00D119C6">
      <w:pPr>
        <w:rPr>
          <w:b/>
          <w:noProof/>
        </w:rPr>
      </w:pPr>
    </w:p>
    <w:p w:rsidR="00D119C6" w:rsidRPr="00992B72" w:rsidRDefault="00D119C6" w:rsidP="00D119C6">
      <w:r w:rsidRPr="00992B72">
        <w:rPr>
          <w:b/>
          <w:noProof/>
        </w:rPr>
        <w:t>Zoe</w:t>
      </w:r>
      <w:r w:rsidRPr="00992B72">
        <w:rPr>
          <w:b/>
        </w:rPr>
        <w:t xml:space="preserve"> </w:t>
      </w:r>
      <w:r w:rsidRPr="00992B72">
        <w:rPr>
          <w:b/>
          <w:noProof/>
        </w:rPr>
        <w:t>Bothwell</w:t>
      </w:r>
      <w:r w:rsidRPr="00992B72">
        <w:t xml:space="preserve"> (</w:t>
      </w:r>
      <w:r w:rsidRPr="00992B72">
        <w:rPr>
          <w:noProof/>
        </w:rPr>
        <w:t>Sussex University</w:t>
      </w:r>
      <w:r w:rsidRPr="00992B72">
        <w:t xml:space="preserve">, </w:t>
      </w:r>
      <w:r w:rsidRPr="00992B72">
        <w:rPr>
          <w:noProof/>
        </w:rPr>
        <w:t>UK</w:t>
      </w:r>
      <w:r>
        <w:t>)</w:t>
      </w:r>
      <w:r>
        <w:br/>
      </w:r>
      <w:r w:rsidRPr="00992B72">
        <w:rPr>
          <w:i/>
          <w:noProof/>
        </w:rPr>
        <w:t>‘Watch me Vanish’: Staging female absence in the theatre of Katie Mitchell</w:t>
      </w:r>
    </w:p>
    <w:p w:rsidR="00D119C6" w:rsidRPr="00D119C6" w:rsidRDefault="00D119C6" w:rsidP="00D119C6">
      <w:pPr>
        <w:rPr>
          <w:noProof/>
          <w:sz w:val="20"/>
          <w:szCs w:val="20"/>
        </w:rPr>
      </w:pPr>
      <w:r w:rsidRPr="00D119C6">
        <w:rPr>
          <w:noProof/>
          <w:sz w:val="20"/>
          <w:szCs w:val="20"/>
        </w:rPr>
        <w:t>The artistic experiments of British theatre director Katie Mitchell have always been rooted in a political concern regarding feminism, violence and a continuing fascination with the function of the human mind. Mitchell has created a series of works over recent years focusing on female protagonists undergoing severe psychological and physical trauma, often culminating in suicide.</w:t>
      </w:r>
    </w:p>
    <w:p w:rsidR="00D119C6" w:rsidRPr="00D119C6" w:rsidRDefault="00D119C6" w:rsidP="00D119C6">
      <w:pPr>
        <w:rPr>
          <w:noProof/>
          <w:sz w:val="20"/>
          <w:szCs w:val="20"/>
        </w:rPr>
      </w:pPr>
      <w:r w:rsidRPr="00D119C6">
        <w:rPr>
          <w:noProof/>
          <w:sz w:val="20"/>
          <w:szCs w:val="20"/>
        </w:rPr>
        <w:t xml:space="preserve">My research accumulates current and past feminist academia in an annotated bibliography, discussing changing expectations of feminism – socially, politically and in theatre-making. From mapping the work of Mitchell against scholarship discussing 1st wave/2nd wave feminism, and neoliberalism (3rd wave), her continuing depictions of violence and suffering towards woman has been both praised and critiqued. This information has then been transferred into a literary review outlining the origins and significance of the source material. Through three case studies – </w:t>
      </w:r>
      <w:r w:rsidRPr="00D119C6">
        <w:rPr>
          <w:i/>
          <w:noProof/>
          <w:sz w:val="20"/>
          <w:szCs w:val="20"/>
        </w:rPr>
        <w:t>Cleansed</w:t>
      </w:r>
      <w:r w:rsidRPr="00D119C6">
        <w:rPr>
          <w:noProof/>
          <w:sz w:val="20"/>
          <w:szCs w:val="20"/>
        </w:rPr>
        <w:t xml:space="preserve"> (2016), </w:t>
      </w:r>
      <w:r w:rsidRPr="00D119C6">
        <w:rPr>
          <w:i/>
          <w:noProof/>
          <w:sz w:val="20"/>
          <w:szCs w:val="20"/>
        </w:rPr>
        <w:t>Lucia Di Lammermoor</w:t>
      </w:r>
      <w:r w:rsidRPr="00D119C6">
        <w:rPr>
          <w:noProof/>
          <w:sz w:val="20"/>
          <w:szCs w:val="20"/>
        </w:rPr>
        <w:t xml:space="preserve"> (2016) and </w:t>
      </w:r>
      <w:r w:rsidRPr="00D119C6">
        <w:rPr>
          <w:i/>
          <w:noProof/>
          <w:sz w:val="20"/>
          <w:szCs w:val="20"/>
        </w:rPr>
        <w:t>Anatomy of a Suicide</w:t>
      </w:r>
      <w:r w:rsidRPr="00D119C6">
        <w:rPr>
          <w:noProof/>
          <w:sz w:val="20"/>
          <w:szCs w:val="20"/>
        </w:rPr>
        <w:t xml:space="preserve"> (2017) – my project explores the significance of suicide and mental distress in Mitchell’s work and the responsibilities surrounding graphic depictions of trauma.</w:t>
      </w:r>
    </w:p>
    <w:p w:rsidR="00D119C6" w:rsidRPr="00D119C6" w:rsidRDefault="00D119C6" w:rsidP="00D119C6">
      <w:pPr>
        <w:rPr>
          <w:sz w:val="20"/>
          <w:szCs w:val="20"/>
        </w:rPr>
      </w:pPr>
      <w:r w:rsidRPr="00D119C6">
        <w:rPr>
          <w:noProof/>
          <w:sz w:val="20"/>
          <w:szCs w:val="20"/>
        </w:rPr>
        <w:t>After recently discovering that the Royal Court Theatre in London issued a statement offering information to visitors on where to seek advice on triggering content, my research turned towards the current debate on content notes and trigger warnings in popular culture and within feminist blogging. My research attempts to tie together the affective triggering states discussed as a result of watching Mitchell’s work to recent discussions on trigger warnings that have only just begun to be considered in relation to UK theatre.</w:t>
      </w:r>
    </w:p>
    <w:p w:rsidR="006503AA" w:rsidRDefault="006503AA" w:rsidP="00502F22">
      <w:pPr>
        <w:rPr>
          <w:b/>
          <w:noProof/>
        </w:rPr>
      </w:pPr>
    </w:p>
    <w:p w:rsidR="00502F22" w:rsidRPr="00992B72" w:rsidRDefault="00502F22" w:rsidP="00502F22">
      <w:r w:rsidRPr="00992B72">
        <w:rPr>
          <w:b/>
          <w:noProof/>
        </w:rPr>
        <w:t>Nicole</w:t>
      </w:r>
      <w:r w:rsidRPr="00992B72">
        <w:rPr>
          <w:b/>
        </w:rPr>
        <w:t xml:space="preserve"> </w:t>
      </w:r>
      <w:r w:rsidRPr="00992B72">
        <w:rPr>
          <w:b/>
          <w:noProof/>
        </w:rPr>
        <w:t>Chan</w:t>
      </w:r>
      <w:r w:rsidRPr="00992B72">
        <w:t xml:space="preserve"> (</w:t>
      </w:r>
      <w:r w:rsidRPr="00992B72">
        <w:rPr>
          <w:noProof/>
        </w:rPr>
        <w:t>Monash University</w:t>
      </w:r>
      <w:r w:rsidRPr="00992B72">
        <w:t xml:space="preserve">, </w:t>
      </w:r>
      <w:r w:rsidRPr="00992B72">
        <w:rPr>
          <w:noProof/>
        </w:rPr>
        <w:t>Australia</w:t>
      </w:r>
      <w:r w:rsidRPr="00992B72">
        <w:t>)</w:t>
      </w:r>
    </w:p>
    <w:p w:rsidR="00502F22" w:rsidRPr="00992B72" w:rsidRDefault="00502F22" w:rsidP="00502F22">
      <w:r w:rsidRPr="00992B72">
        <w:rPr>
          <w:i/>
          <w:noProof/>
        </w:rPr>
        <w:t>Systematic Issues Underpinning the Use of Social Science Evidence in the Conduct of Child-Related Family Proceedings under the Family Law Act 1975</w:t>
      </w:r>
    </w:p>
    <w:p w:rsidR="00502F22" w:rsidRPr="00502F22" w:rsidRDefault="00502F22" w:rsidP="00502F22">
      <w:pPr>
        <w:rPr>
          <w:sz w:val="20"/>
          <w:szCs w:val="20"/>
        </w:rPr>
      </w:pPr>
      <w:r w:rsidRPr="00502F22">
        <w:rPr>
          <w:noProof/>
          <w:sz w:val="20"/>
          <w:szCs w:val="20"/>
        </w:rPr>
        <w:t>In the legacy of family law in Australia, certain issues appear well-entrenched and institutionalised. In particular, family violence has been an enduring problem that proliferates a number of psychological-related concerns. Of note are the effects of inter-spousal violence on children and the phenomenon of inter-generationally transmitted trauma. The complex interaction between family law and social science has birthed the entirely novel issue of how social science evidence might enlighten the court process. This thesis endeavours to engage in discourse critiquing the current use of social science evidence in family law proceedings. It will draw the conclusion that there are systematic problems stemming from the use of such evidence, including potential bias, the use of psychometric safeguards and a lack of sufficient guidance for decision-makers. Additionally, reforms will be recommended that aim to ensure a better representation of psychological considerations by social science evidence in children’s cases determined under the Family Law Act.</w:t>
      </w:r>
    </w:p>
    <w:p w:rsidR="00502F22" w:rsidRDefault="00502F22" w:rsidP="00DD7B70"/>
    <w:p w:rsidR="00502F22" w:rsidRPr="00992B72" w:rsidRDefault="00502F22" w:rsidP="00502F22">
      <w:r w:rsidRPr="00992B72">
        <w:rPr>
          <w:b/>
          <w:noProof/>
        </w:rPr>
        <w:t>Varsha Devi</w:t>
      </w:r>
      <w:r w:rsidRPr="00992B72">
        <w:rPr>
          <w:b/>
        </w:rPr>
        <w:t xml:space="preserve"> </w:t>
      </w:r>
      <w:r w:rsidRPr="00992B72">
        <w:rPr>
          <w:b/>
          <w:noProof/>
        </w:rPr>
        <w:t>Balakrishnan</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Terrorist Recruitment via Social Networking Sites</w:t>
      </w:r>
    </w:p>
    <w:p w:rsidR="00502F22" w:rsidRDefault="00502F22" w:rsidP="00DD7B70">
      <w:pPr>
        <w:rPr>
          <w:noProof/>
          <w:sz w:val="20"/>
          <w:szCs w:val="20"/>
        </w:rPr>
      </w:pPr>
      <w:r w:rsidRPr="00502F22">
        <w:rPr>
          <w:noProof/>
          <w:sz w:val="20"/>
          <w:szCs w:val="20"/>
        </w:rPr>
        <w:t xml:space="preserve">This research is concerned with the role Social Networking Sites (SNS) have in facilitating terrorist recruitment. Scholars study recruitment via SNS through the lens of the Internet and the benefits it brings for terror groups as a tool for recruitment. The benefits can be attributed to SNS’s popularity, interactivity and usability (Weimann, 2015), which has led scholars to argue that online recruitment, has ‘exponentially increased’ </w:t>
      </w:r>
      <w:r w:rsidRPr="00502F22">
        <w:rPr>
          <w:noProof/>
          <w:sz w:val="20"/>
          <w:szCs w:val="20"/>
        </w:rPr>
        <w:lastRenderedPageBreak/>
        <w:t>(Cohen-Almagor, 2012, p. 48). The aim of this research is not to discredit the literature, which covers a wide spectrum of how SNS facilitates online recruitment, but rather to demonstrate that the literature of online recruitment is very much focused on the processes of online recruitment rather than the issue of why individuals are getting recruited online. This highlights that the literature places emphasis on terror groups and their recruitment strategies as the unit of analysis, and largely ignores the question of why an increased number of individuals are being recruited by terror groups on SNS. Therefore, this research proposes analysing the influence of social, political and economic backgrounds on individuals, particularly government rhetoric, rise in conflict, economic hardships and marginalisation within communities. In doing so, it aims to argue that domestic factors should not be ignored in the discussion of online recruitment. Analysing domestic causal factors allows us to ascertain if there has indeed been an increase in online recruitment globally, as the literature lacks quantifiable data to substantiate this argument, or if online recruitment only increased in specific contexts.</w:t>
      </w:r>
    </w:p>
    <w:p w:rsidR="00BF4AE1" w:rsidRPr="00502F22" w:rsidRDefault="00BF4AE1" w:rsidP="00DD7B70">
      <w:pPr>
        <w:rPr>
          <w:noProof/>
          <w:sz w:val="20"/>
          <w:szCs w:val="20"/>
        </w:rPr>
      </w:pPr>
    </w:p>
    <w:p w:rsidR="00E549C4" w:rsidRPr="008F0D2E" w:rsidRDefault="00E549C4" w:rsidP="00C23D0D">
      <w:pPr>
        <w:pStyle w:val="Heading2"/>
      </w:pPr>
      <w:bookmarkStart w:id="26" w:name="_Toc501711913"/>
      <w:r w:rsidRPr="008F0D2E">
        <w:t>Session 5C (N</w:t>
      </w:r>
      <w:r w:rsidR="00401794">
        <w:t xml:space="preserve">anyang Technological </w:t>
      </w:r>
      <w:r w:rsidRPr="008F0D2E">
        <w:t>U</w:t>
      </w:r>
      <w:r w:rsidR="00401794">
        <w:t>niversity, Singapore</w:t>
      </w:r>
      <w:r w:rsidR="00502F22">
        <w:t xml:space="preserve"> &amp; Leeds University, UK</w:t>
      </w:r>
      <w:r w:rsidRPr="008F0D2E">
        <w:t>)</w:t>
      </w:r>
      <w:bookmarkEnd w:id="26"/>
      <w:r w:rsidRPr="008F0D2E">
        <w:t xml:space="preserve"> </w:t>
      </w:r>
    </w:p>
    <w:p w:rsidR="00C23D0D" w:rsidRDefault="00401794" w:rsidP="00DD7B70">
      <w:pPr>
        <w:rPr>
          <w:i/>
          <w:iCs/>
          <w:color w:val="404040" w:themeColor="text1" w:themeTint="BF"/>
        </w:rPr>
      </w:pPr>
      <w:r w:rsidRPr="00C23D0D">
        <w:rPr>
          <w:rStyle w:val="SubtleEmphasis"/>
        </w:rPr>
        <w:t xml:space="preserve">Theme: </w:t>
      </w:r>
      <w:r w:rsidR="00502F22" w:rsidRPr="00502F22">
        <w:rPr>
          <w:rStyle w:val="SubtleEmphasis"/>
        </w:rPr>
        <w:t>Advances in Medicine and Pharmacology</w:t>
      </w:r>
      <w:r w:rsidR="00FE0559">
        <w:rPr>
          <w:rStyle w:val="SubtleEmphasis"/>
        </w:rPr>
        <w:br/>
      </w:r>
    </w:p>
    <w:p w:rsidR="00502F22" w:rsidRPr="00992B72" w:rsidRDefault="00502F22" w:rsidP="00502F22">
      <w:r w:rsidRPr="00992B72">
        <w:rPr>
          <w:b/>
          <w:noProof/>
        </w:rPr>
        <w:t>Wee Soon</w:t>
      </w:r>
      <w:r w:rsidRPr="00992B72">
        <w:rPr>
          <w:b/>
        </w:rPr>
        <w:t xml:space="preserve"> </w:t>
      </w:r>
      <w:r w:rsidRPr="00992B72">
        <w:rPr>
          <w:b/>
          <w:noProof/>
        </w:rPr>
        <w:t>Keong</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Deciphering Clues and Fingerprints of a Killer Superbug: Did the human pathogen Acinetobacter baumannii arise from the environment?</w:t>
      </w:r>
    </w:p>
    <w:p w:rsidR="00502F22" w:rsidRPr="00502F22" w:rsidRDefault="00502F22" w:rsidP="00502F22">
      <w:pPr>
        <w:rPr>
          <w:sz w:val="20"/>
          <w:szCs w:val="20"/>
        </w:rPr>
      </w:pPr>
      <w:r w:rsidRPr="00502F22">
        <w:rPr>
          <w:noProof/>
          <w:sz w:val="20"/>
          <w:szCs w:val="20"/>
        </w:rPr>
        <w:t>Acinetobacter baumannii has emerged as a multi-drug resistant superbug of great clinical significance. Studying its reservoir outside of hospital environments and other Acinetobacter species will allow better a understanding of its origin. Clustered regularly interspaced short palindromic repeats (CRISPR) form part of a prokaryotic adaptive defence system against bacteriophages and foreign DNA. This study aims to isolate A. baumannii from the environment and use the CRIPSR loci to map its origin. Environmental soil and water sampling (n = 92) was conducted across three Southeast Asian countries: Singapore, Malaysia and Philippines. A PCR-based molecular screen for Acinetobacter spp. and A. baumannii was conducted on the enriched broth samples to efficiently identify positive samples for culturing. The study successfully isolated 12 different Acinetobacter species with A. baumannii cultured from soil on the road (n = 5), water (n = 3) and root soil (n = 1). Comparative analysis of spacers and direct repeats within the CRISPR array against local clinical isolates and other publicly available genomes revealed that an environmental A. baumannii isolate from the Philippines had the first 23 out of 36 spacers mapped to a clinical isolate identically reported in Italy. The results suggested a potential historical ancestor and demonstrated the potential use of CRISPR loci as a historical fingerprint by studying the diversity of the direct repeat and spacer sequences. The isolation of A. baumannii from roadside soil also revealed a need for a systematic community surveillance to better understand how urbanisation may have affected the environmental reservoirs of A baumannii.</w:t>
      </w:r>
    </w:p>
    <w:p w:rsidR="00502F22" w:rsidRDefault="00502F22" w:rsidP="00DD7B70">
      <w:pPr>
        <w:rPr>
          <w:b/>
          <w:iCs/>
          <w:color w:val="404040" w:themeColor="text1" w:themeTint="BF"/>
        </w:rPr>
      </w:pPr>
    </w:p>
    <w:p w:rsidR="00502F22" w:rsidRPr="00A407B0" w:rsidRDefault="00502F22" w:rsidP="00502F22">
      <w:pPr>
        <w:rPr>
          <w:i/>
          <w:iCs/>
          <w:color w:val="404040" w:themeColor="text1" w:themeTint="BF"/>
        </w:rPr>
      </w:pPr>
      <w:r w:rsidRPr="002C1513">
        <w:rPr>
          <w:b/>
          <w:iCs/>
          <w:color w:val="404040" w:themeColor="text1" w:themeTint="BF"/>
        </w:rPr>
        <w:t>Ayeesha Bala-Wunti</w:t>
      </w:r>
      <w:r w:rsidRPr="002C1513">
        <w:rPr>
          <w:iCs/>
          <w:color w:val="404040" w:themeColor="text1" w:themeTint="BF"/>
        </w:rPr>
        <w:t xml:space="preserve"> (Leeds University)</w:t>
      </w:r>
      <w:r w:rsidR="00A407B0">
        <w:rPr>
          <w:iCs/>
          <w:color w:val="404040" w:themeColor="text1" w:themeTint="BF"/>
        </w:rPr>
        <w:br/>
      </w:r>
      <w:r w:rsidR="003B317C" w:rsidRPr="003B317C">
        <w:rPr>
          <w:i/>
          <w:iCs/>
          <w:color w:val="404040" w:themeColor="text1" w:themeTint="BF"/>
        </w:rPr>
        <w:t>Improving Reaction Eff</w:t>
      </w:r>
      <w:r w:rsidR="006503AA">
        <w:rPr>
          <w:i/>
          <w:iCs/>
          <w:color w:val="404040" w:themeColor="text1" w:themeTint="BF"/>
        </w:rPr>
        <w:t>iciency Through Flow Processing</w:t>
      </w:r>
      <w:r w:rsidR="00A407B0">
        <w:rPr>
          <w:i/>
          <w:iCs/>
          <w:color w:val="404040" w:themeColor="text1" w:themeTint="BF"/>
        </w:rPr>
        <w:br/>
      </w:r>
      <w:r w:rsidR="006503AA">
        <w:rPr>
          <w:i/>
          <w:iCs/>
          <w:color w:val="404040" w:themeColor="text1" w:themeTint="BF"/>
        </w:rPr>
        <w:br/>
      </w:r>
      <w:r w:rsidR="003B317C" w:rsidRPr="003B317C">
        <w:rPr>
          <w:noProof/>
          <w:sz w:val="20"/>
          <w:szCs w:val="20"/>
        </w:rPr>
        <w:t xml:space="preserve">Many drugs have unsymmetrical di-functional sub-units that require synthesis of key intermediates such as mono-substituted diamines. Synthesis of these key linkers from unsymmetrical amines is easy due to steric and/or electronic effects but for symmetrical amines, it becomes more complex to achieve a high yield of mono products. Despite favourable experimental conditions, reactions of symmetrical diamines result in low conversion due to the biphasic nature of reaction and in low selectivity for the mono-substituted products. Thus it is not as efficient as it could be. Adoption of flow processing by pharmaceuticals in drug manufacturing to improve yield, quality, and overall environmental impact in has been one of the major advances in synthetic chemistry. Flow methods for improving selectivity and conversion in multiphasic reactions using tubular reactors and continuous flow stirred-tank reactors (CSTR) are investigated. Using the acetylation of piperazine </w:t>
      </w:r>
      <w:r w:rsidR="003B317C" w:rsidRPr="003B317C">
        <w:rPr>
          <w:noProof/>
          <w:sz w:val="20"/>
          <w:szCs w:val="20"/>
        </w:rPr>
        <w:lastRenderedPageBreak/>
        <w:t>as an exemplar reaction, this report aims to identify specific opportunities for using flow processing to improve reaction efficiency in medicinal and process chemistry by investigating the effect of the following variables on the outcome of the reaction in flow; flow rate, reactor volume, temperature, stoichiometry, concentration, and acylating agent. The unoptimized reaction is described to illustrate the potential of simple, laboratory scale, miniaturised CSTRs called “freactors” in improving efficiency in this bi-phasic reaction. It concludes that though both flow methods investigated improve reaction, with best results reaching 70% conversion and 71% selectivity and obtained at 3 mL/min at ~ 50</w:t>
      </w:r>
      <w:r w:rsidR="003B317C" w:rsidRPr="003B317C">
        <w:rPr>
          <w:rFonts w:ascii="Cambria Math" w:hAnsi="Cambria Math" w:cs="Cambria Math"/>
          <w:noProof/>
          <w:sz w:val="20"/>
          <w:szCs w:val="20"/>
        </w:rPr>
        <w:t>℃</w:t>
      </w:r>
      <w:r w:rsidR="003B317C" w:rsidRPr="003B317C">
        <w:rPr>
          <w:noProof/>
          <w:sz w:val="20"/>
          <w:szCs w:val="20"/>
        </w:rPr>
        <w:t xml:space="preserve"> for a 3:1 reaction of piperazine (0.1 M) and acetic anhydride (0.1 M) using one 2 mL freactor, the acylating agent chosen potentially leads to a trade-off between selectivity and conversion and it is imperative to develop a means to alter temperature during reactions.</w:t>
      </w:r>
    </w:p>
    <w:p w:rsidR="003B317C" w:rsidRDefault="003B317C" w:rsidP="00502F22">
      <w:pPr>
        <w:rPr>
          <w:b/>
          <w:noProof/>
        </w:rPr>
      </w:pPr>
    </w:p>
    <w:p w:rsidR="00502F22" w:rsidRPr="00CF7F00" w:rsidRDefault="00502F22" w:rsidP="00502F22">
      <w:r w:rsidRPr="00CF7F00">
        <w:rPr>
          <w:b/>
          <w:noProof/>
        </w:rPr>
        <w:t>Sharon</w:t>
      </w:r>
      <w:r w:rsidRPr="00CF7F00">
        <w:rPr>
          <w:b/>
        </w:rPr>
        <w:t xml:space="preserve"> </w:t>
      </w:r>
      <w:r w:rsidRPr="00CF7F00">
        <w:rPr>
          <w:b/>
          <w:noProof/>
        </w:rPr>
        <w:t>Sebastian</w:t>
      </w:r>
      <w:r w:rsidRPr="00CF7F00">
        <w:t xml:space="preserve"> (</w:t>
      </w:r>
      <w:r w:rsidRPr="00CF7F00">
        <w:rPr>
          <w:noProof/>
        </w:rPr>
        <w:t>Leeds University</w:t>
      </w:r>
      <w:r w:rsidRPr="00CF7F00">
        <w:t xml:space="preserve">, </w:t>
      </w:r>
      <w:r w:rsidRPr="00CF7F00">
        <w:rPr>
          <w:noProof/>
        </w:rPr>
        <w:t>UK</w:t>
      </w:r>
      <w:r>
        <w:t>)</w:t>
      </w:r>
      <w:r>
        <w:br/>
      </w:r>
      <w:r w:rsidRPr="00CF7F00">
        <w:rPr>
          <w:i/>
          <w:noProof/>
        </w:rPr>
        <w:t>Developing Heart-Valve Simulators to Assess the Hydrodynamic Function of Tissue-Engineered Heart Valves</w:t>
      </w:r>
    </w:p>
    <w:p w:rsidR="00502F22" w:rsidRDefault="00502F22" w:rsidP="00502F22">
      <w:pPr>
        <w:rPr>
          <w:noProof/>
          <w:sz w:val="20"/>
          <w:szCs w:val="20"/>
        </w:rPr>
      </w:pPr>
      <w:r w:rsidRPr="00502F22">
        <w:rPr>
          <w:noProof/>
          <w:sz w:val="20"/>
          <w:szCs w:val="20"/>
        </w:rPr>
        <w:t>Preclinical testing of tissue-engineered heart valves is essential for determining their safety and reliability before they can be used in clinical trials. At the University of Leeds, there are two distinct designs of simulators that can assess the hydrodynamic performance of heart valves: a ‘pulsatile flow simulator’ and a ‘bioreactor’. By initially testing mechanical valves in both machines in varying heart conditions (heart rate and stroke volume), we can compare and determine the effectiveness of both machines while also becoming aware of improvements that can be made. Moreover, the effect on the hydrodynamic performance of the tissue-engineered heart valves can be observed when there is a variation in test machines and test conditions. The main objective of this project is to assess the effects of these two distinct simulator designs on valve hydrodynamics. The hydrodynamic parameters (pressure differences, flow, valve dynamics) of the mechanical valves obtained using the bioreactor will be compared with those obtained from the pulsatile flow simulator. Additionally, a report on the ideal design recommendation to test the long-term performance of tissue-engineered heart valves under physiological test conditions is also to be produced. The results will be used to improve current heart-valve testing simulators to increase the safety of tissue-engineered heart valves.</w:t>
      </w:r>
    </w:p>
    <w:p w:rsidR="00502F22" w:rsidRPr="00FE0559" w:rsidRDefault="00502F22" w:rsidP="00DD7B70">
      <w:pPr>
        <w:rPr>
          <w:i/>
          <w:iCs/>
          <w:color w:val="404040" w:themeColor="text1" w:themeTint="BF"/>
        </w:rPr>
      </w:pPr>
    </w:p>
    <w:p w:rsidR="00502F22" w:rsidRDefault="00502F22">
      <w:pPr>
        <w:pStyle w:val="Heading2"/>
      </w:pPr>
      <w:bookmarkStart w:id="27" w:name="_Toc501711914"/>
      <w:r>
        <w:t>Session 5</w:t>
      </w:r>
      <w:r w:rsidR="0025754B">
        <w:t>D (Warwick University, UK &amp; Monash University, Malaysia)</w:t>
      </w:r>
      <w:bookmarkEnd w:id="27"/>
    </w:p>
    <w:p w:rsidR="0025754B" w:rsidRDefault="0025754B" w:rsidP="0025754B">
      <w:pPr>
        <w:rPr>
          <w:i/>
        </w:rPr>
      </w:pPr>
      <w:r>
        <w:rPr>
          <w:i/>
        </w:rPr>
        <w:t xml:space="preserve">Theme: </w:t>
      </w:r>
      <w:r w:rsidRPr="0025754B">
        <w:rPr>
          <w:i/>
        </w:rPr>
        <w:t>Smart Tech</w:t>
      </w:r>
    </w:p>
    <w:p w:rsidR="00BF4AE1" w:rsidRDefault="00BF4AE1" w:rsidP="0025754B">
      <w:pPr>
        <w:rPr>
          <w:b/>
          <w:noProof/>
        </w:rPr>
      </w:pPr>
    </w:p>
    <w:p w:rsidR="0025754B" w:rsidRPr="00992B72" w:rsidRDefault="0025754B" w:rsidP="0025754B">
      <w:r w:rsidRPr="00992B72">
        <w:rPr>
          <w:b/>
          <w:noProof/>
        </w:rPr>
        <w:t>Jack</w:t>
      </w:r>
      <w:r w:rsidRPr="00992B72">
        <w:rPr>
          <w:b/>
        </w:rPr>
        <w:t xml:space="preserve"> </w:t>
      </w:r>
      <w:r w:rsidRPr="00992B72">
        <w:rPr>
          <w:b/>
          <w:noProof/>
        </w:rPr>
        <w:t>Fenton</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Professional eSports Team Communication</w:t>
      </w:r>
    </w:p>
    <w:p w:rsidR="0025754B" w:rsidRPr="0025754B" w:rsidRDefault="0025754B" w:rsidP="0025754B">
      <w:pPr>
        <w:rPr>
          <w:noProof/>
          <w:sz w:val="20"/>
          <w:szCs w:val="20"/>
        </w:rPr>
      </w:pPr>
      <w:r w:rsidRPr="0025754B">
        <w:rPr>
          <w:noProof/>
          <w:sz w:val="20"/>
          <w:szCs w:val="20"/>
        </w:rPr>
        <w:t>Within sports of any type, cohesiveness and effective communication is instrumental in a team’s success. The professional video industry (eSports) has seldom been researched, even though the area itself can be likened to traditional sport on all levels, except the players are playing video games not physical sport. This study opens academic eSport investigation with a focus on communicative structures in established eSport organisations, with the aim of developing a new and refined theoretical framework that maps the sociolinguistic environment within League of Legends teams. The framework will be shaped by the findings and adapted from traditional sport communication models. The eSport industry is a rich linguistic environment that could provide insight that could affect the wider understanding of teamwork. In eSport, particularly the game ‘League of Legends’, communication is more fundamental to success than in traditional sport as the game itself is more complex which warrants immaculate teamwork.</w:t>
      </w:r>
    </w:p>
    <w:p w:rsidR="0025754B" w:rsidRDefault="0025754B" w:rsidP="0025754B">
      <w:pPr>
        <w:rPr>
          <w:noProof/>
          <w:sz w:val="20"/>
          <w:szCs w:val="20"/>
        </w:rPr>
      </w:pPr>
      <w:r w:rsidRPr="0025754B">
        <w:rPr>
          <w:noProof/>
          <w:sz w:val="20"/>
          <w:szCs w:val="20"/>
        </w:rPr>
        <w:t xml:space="preserve">This investigation will answer the research question of ‘What is a successful communicative framework in eSports?’ with the secondary objective of investigating the roles of each player, such as the ‘shotcaller’, a pivotal role found in my preliminary research projects. It will be a mixed-methods enquiry utilising field notes, interviews and conversational analysis from full game observations. The project will open further </w:t>
      </w:r>
      <w:r w:rsidRPr="0025754B">
        <w:rPr>
          <w:noProof/>
          <w:sz w:val="20"/>
          <w:szCs w:val="20"/>
        </w:rPr>
        <w:lastRenderedPageBreak/>
        <w:t>investigations into the complexity of in-game and out-of-game social roles and the fundamentals of an effective eSport team environment. The resulting framework will promote further research into the entire industry, specifically enabling this eSport teamwork paradigm to be further investigated and developed.</w:t>
      </w:r>
    </w:p>
    <w:p w:rsidR="0025754B" w:rsidRDefault="0025754B" w:rsidP="0025754B">
      <w:pPr>
        <w:rPr>
          <w:noProof/>
          <w:sz w:val="20"/>
          <w:szCs w:val="20"/>
        </w:rPr>
      </w:pPr>
    </w:p>
    <w:p w:rsidR="0025754B" w:rsidRPr="00992B72" w:rsidRDefault="0025754B" w:rsidP="0025754B">
      <w:r w:rsidRPr="00992B72">
        <w:rPr>
          <w:b/>
          <w:noProof/>
        </w:rPr>
        <w:t>Zhihua</w:t>
      </w:r>
      <w:r w:rsidRPr="00992B72">
        <w:rPr>
          <w:b/>
        </w:rPr>
        <w:t xml:space="preserve"> </w:t>
      </w:r>
      <w:r w:rsidRPr="00992B72">
        <w:rPr>
          <w:b/>
          <w:noProof/>
        </w:rPr>
        <w:t>Song</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Quantum Mechanical Simulation of Defects in Ni-Based Superalloys for Improved Turbine Blades</w:t>
      </w:r>
    </w:p>
    <w:p w:rsidR="0025754B" w:rsidRPr="0025754B" w:rsidRDefault="0025754B" w:rsidP="0025754B">
      <w:pPr>
        <w:rPr>
          <w:noProof/>
          <w:sz w:val="20"/>
          <w:szCs w:val="20"/>
        </w:rPr>
      </w:pPr>
      <w:r w:rsidRPr="0025754B">
        <w:rPr>
          <w:noProof/>
          <w:sz w:val="20"/>
          <w:szCs w:val="20"/>
        </w:rPr>
        <w:t>Nickel-based superalloys are the best materials for turbine blades yet identified – and most well-known. Such alloys are widely used in load-bearing structures – such as jet engines or gas turbines that have extreme homologous temperatures nearing 90% of the alloys’ melting point – due to its outstanding ability to maintain strength and toughness under high temperature. Each development in Nickel-based superalloys enhances performance of turbine blades. This project intends to further study the atomic-scale mechanism in superalloys, which can lead to a better understanding of the Ni-based superalloys and may even bring new ideas to this field. Such development will eventually help improve the design of turbine blades. Turbine blades after development can be stronger and lighter, thus enabling better design, less fuel consumption and better working conditions. This will mean higher efficiency, lower cost and less pollution in its applications.</w:t>
      </w:r>
    </w:p>
    <w:p w:rsidR="0025754B" w:rsidRPr="0025754B" w:rsidRDefault="0025754B" w:rsidP="0025754B">
      <w:pPr>
        <w:rPr>
          <w:noProof/>
          <w:sz w:val="20"/>
          <w:szCs w:val="20"/>
        </w:rPr>
      </w:pPr>
      <w:r w:rsidRPr="0025754B">
        <w:rPr>
          <w:noProof/>
          <w:sz w:val="20"/>
          <w:szCs w:val="20"/>
        </w:rPr>
        <w:t>Superalloy turbine blades in jet engines are giant, single crystals of perfectly aligned atoms. The single-crystal Nickel-based superalloys usually contain a lower concentration of impurities such as Rhenium (Re) and Tungsten (W). Impurities are added to provide the balance of strength and ductility in the Ni-based superalloys. However, the atomic-scale mechanisms of impurities, especially Re, is still in dispute. This project aims to use quantum mechanical (QM) computer simulation based on Density Functional Theory (DFT) to analyse the Ni-based superalloys and compare the results with existing experiments to suggest improvements for new alloy design.</w:t>
      </w:r>
    </w:p>
    <w:p w:rsidR="0025754B" w:rsidRPr="0025754B" w:rsidRDefault="0025754B" w:rsidP="0025754B">
      <w:pPr>
        <w:rPr>
          <w:sz w:val="20"/>
          <w:szCs w:val="20"/>
        </w:rPr>
      </w:pPr>
      <w:r w:rsidRPr="0025754B">
        <w:rPr>
          <w:noProof/>
          <w:sz w:val="20"/>
          <w:szCs w:val="20"/>
        </w:rPr>
        <w:t>One attractive part of this project is that it requires a combination of many fascinating subjects, such as material science, mechanical engineering, theoretical physics and computer modelling. Also, the study of Nickel-based superalloys is a very advanced topic; the long lasting mystery of its impurities’ mechanisms makes it most intriguing.</w:t>
      </w:r>
    </w:p>
    <w:p w:rsidR="0025754B" w:rsidRPr="0025754B" w:rsidRDefault="0025754B" w:rsidP="0025754B">
      <w:pPr>
        <w:rPr>
          <w:sz w:val="20"/>
          <w:szCs w:val="20"/>
        </w:rPr>
      </w:pPr>
    </w:p>
    <w:p w:rsidR="0025754B" w:rsidRPr="0025754B" w:rsidRDefault="0025754B" w:rsidP="0025754B">
      <w:r w:rsidRPr="00992B72">
        <w:rPr>
          <w:b/>
          <w:noProof/>
        </w:rPr>
        <w:t>Raj Inthiran</w:t>
      </w:r>
      <w:r w:rsidRPr="00992B72">
        <w:rPr>
          <w:b/>
        </w:rPr>
        <w:t xml:space="preserve"> </w:t>
      </w:r>
      <w:r w:rsidRPr="00992B72">
        <w:rPr>
          <w:b/>
          <w:noProof/>
        </w:rPr>
        <w:t>Paulvannan</w:t>
      </w:r>
      <w:r w:rsidRPr="00992B72">
        <w:t xml:space="preserve"> (</w:t>
      </w:r>
      <w:r w:rsidRPr="00992B72">
        <w:rPr>
          <w:noProof/>
        </w:rPr>
        <w:t>Monash University</w:t>
      </w:r>
      <w:r w:rsidRPr="00992B72">
        <w:t xml:space="preserve">, </w:t>
      </w:r>
      <w:r w:rsidRPr="00992B72">
        <w:rPr>
          <w:noProof/>
        </w:rPr>
        <w:t>Malaysia</w:t>
      </w:r>
      <w:r w:rsidRPr="00992B72">
        <w:t>)</w:t>
      </w:r>
      <w:r>
        <w:br/>
      </w:r>
      <w:r w:rsidRPr="0025754B">
        <w:rPr>
          <w:i/>
          <w:noProof/>
          <w:sz w:val="20"/>
          <w:szCs w:val="20"/>
        </w:rPr>
        <w:t>Computerised Tomography for the Diagnosis of Acute Appendicitis: A systematic review and comparison of results of early vs late model scanners</w:t>
      </w:r>
    </w:p>
    <w:p w:rsidR="0025754B" w:rsidRPr="0025754B" w:rsidRDefault="0025754B" w:rsidP="0025754B">
      <w:pPr>
        <w:rPr>
          <w:noProof/>
          <w:sz w:val="20"/>
          <w:szCs w:val="20"/>
        </w:rPr>
      </w:pPr>
      <w:r w:rsidRPr="0025754B">
        <w:rPr>
          <w:noProof/>
          <w:sz w:val="20"/>
          <w:szCs w:val="20"/>
        </w:rPr>
        <w:t>Background</w:t>
      </w:r>
    </w:p>
    <w:p w:rsidR="0025754B" w:rsidRPr="0025754B" w:rsidRDefault="0025754B" w:rsidP="0025754B">
      <w:pPr>
        <w:rPr>
          <w:noProof/>
          <w:sz w:val="20"/>
          <w:szCs w:val="20"/>
        </w:rPr>
      </w:pPr>
      <w:r w:rsidRPr="0025754B">
        <w:rPr>
          <w:noProof/>
          <w:sz w:val="20"/>
          <w:szCs w:val="20"/>
        </w:rPr>
        <w:t>The accuracy of a clinical diagnosis for acute appendicitis is currently poor. CT scanning improves this, but CT has disadvantages. Surgeons would prefer clinical instruments over CT, but these are too inaccurate because they ignore subjects who were not operated on. We plan a systematic review to determine whether the CT can be used as a gold standard. We also need to determine if the accuracy of CT-based diagnosis has improved with time.</w:t>
      </w:r>
    </w:p>
    <w:p w:rsidR="0025754B" w:rsidRPr="0025754B" w:rsidRDefault="0025754B" w:rsidP="0025754B">
      <w:pPr>
        <w:rPr>
          <w:noProof/>
          <w:sz w:val="20"/>
          <w:szCs w:val="20"/>
        </w:rPr>
      </w:pPr>
      <w:r w:rsidRPr="0025754B">
        <w:rPr>
          <w:noProof/>
          <w:sz w:val="20"/>
          <w:szCs w:val="20"/>
        </w:rPr>
        <w:t>Method</w:t>
      </w:r>
    </w:p>
    <w:p w:rsidR="0025754B" w:rsidRPr="0025754B" w:rsidRDefault="0025754B" w:rsidP="0025754B">
      <w:pPr>
        <w:rPr>
          <w:noProof/>
          <w:sz w:val="20"/>
          <w:szCs w:val="20"/>
        </w:rPr>
      </w:pPr>
      <w:r w:rsidRPr="0025754B">
        <w:rPr>
          <w:noProof/>
          <w:sz w:val="20"/>
          <w:szCs w:val="20"/>
        </w:rPr>
        <w:t>We included studies designed to provide data on sensitivity and specificity. Studies planned with other objectives were excluded. Data was extracted from the Pubmed and Ovid databases, which yielded 607 titles. The RevMan software is being used for recording data. A QUADAS-2 worksheet evaluates the quality of the studies.</w:t>
      </w:r>
    </w:p>
    <w:p w:rsidR="0025754B" w:rsidRPr="0025754B" w:rsidRDefault="0025754B" w:rsidP="0025754B">
      <w:pPr>
        <w:rPr>
          <w:noProof/>
          <w:sz w:val="20"/>
          <w:szCs w:val="20"/>
        </w:rPr>
      </w:pPr>
      <w:r w:rsidRPr="0025754B">
        <w:rPr>
          <w:noProof/>
          <w:sz w:val="20"/>
          <w:szCs w:val="20"/>
        </w:rPr>
        <w:t>Results</w:t>
      </w:r>
    </w:p>
    <w:p w:rsidR="0025754B" w:rsidRPr="0025754B" w:rsidRDefault="0025754B" w:rsidP="0025754B">
      <w:pPr>
        <w:rPr>
          <w:noProof/>
          <w:sz w:val="20"/>
          <w:szCs w:val="20"/>
        </w:rPr>
      </w:pPr>
      <w:r w:rsidRPr="0025754B">
        <w:rPr>
          <w:noProof/>
          <w:sz w:val="20"/>
          <w:szCs w:val="20"/>
        </w:rPr>
        <w:t xml:space="preserve">The protocol was registered (PROSPERO). Of approximately 70 papers that meet the inclusion criteria, 39 have been analysed. Preliminary results yield an overall sensitivity, specificity, positive predictive values and </w:t>
      </w:r>
      <w:r w:rsidRPr="0025754B">
        <w:rPr>
          <w:noProof/>
          <w:sz w:val="20"/>
          <w:szCs w:val="20"/>
        </w:rPr>
        <w:lastRenderedPageBreak/>
        <w:t>negative predictive values of 0.93, 0.92, 0.94, and 0.91. Specificity is higher if contrast is administered (0.95) compared to CT without contrast (0.87). Surprisingly, results did not improve over the years. Randomised studies have not been published, and all studies seen so far have inherent biases. Few studies have attempted to conduct proper follow-up for non-operated cases.</w:t>
      </w:r>
    </w:p>
    <w:p w:rsidR="0025754B" w:rsidRPr="0025754B" w:rsidRDefault="0025754B" w:rsidP="0025754B">
      <w:pPr>
        <w:rPr>
          <w:noProof/>
          <w:sz w:val="20"/>
          <w:szCs w:val="20"/>
        </w:rPr>
      </w:pPr>
      <w:r w:rsidRPr="0025754B">
        <w:rPr>
          <w:noProof/>
          <w:sz w:val="20"/>
          <w:szCs w:val="20"/>
        </w:rPr>
        <w:t>Comment</w:t>
      </w:r>
    </w:p>
    <w:p w:rsidR="0025754B" w:rsidRPr="0025754B" w:rsidRDefault="0025754B" w:rsidP="0025754B">
      <w:pPr>
        <w:rPr>
          <w:sz w:val="20"/>
          <w:szCs w:val="20"/>
        </w:rPr>
      </w:pPr>
      <w:r w:rsidRPr="0025754B">
        <w:rPr>
          <w:noProof/>
          <w:sz w:val="20"/>
          <w:szCs w:val="20"/>
        </w:rPr>
        <w:t>The CT scan has a sensitivity and specificity slightly over 90%. The accuracy does not seem to have improved over time despite the emergence of improved scanners. Initial results suggest that the CT may not be the perfect gold standard.</w:t>
      </w:r>
    </w:p>
    <w:p w:rsidR="0025754B" w:rsidRDefault="0025754B" w:rsidP="0025754B"/>
    <w:p w:rsidR="0025754B" w:rsidRPr="00992B72" w:rsidRDefault="0025754B" w:rsidP="0025754B">
      <w:r w:rsidRPr="00992B72">
        <w:rPr>
          <w:b/>
          <w:noProof/>
        </w:rPr>
        <w:t>Benjamin</w:t>
      </w:r>
      <w:r w:rsidRPr="00992B72">
        <w:rPr>
          <w:b/>
        </w:rPr>
        <w:t xml:space="preserve"> </w:t>
      </w:r>
      <w:r w:rsidRPr="00992B72">
        <w:rPr>
          <w:b/>
          <w:noProof/>
        </w:rPr>
        <w:t>Cox</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Creating Biological Feedback Components using DNA Strand Displacement Circuits in Visual DSD</w:t>
      </w:r>
    </w:p>
    <w:p w:rsidR="0025754B" w:rsidRPr="0025754B" w:rsidRDefault="0025754B" w:rsidP="0025754B">
      <w:pPr>
        <w:rPr>
          <w:noProof/>
          <w:sz w:val="20"/>
          <w:szCs w:val="20"/>
        </w:rPr>
      </w:pPr>
      <w:r w:rsidRPr="0025754B">
        <w:rPr>
          <w:noProof/>
          <w:sz w:val="20"/>
          <w:szCs w:val="20"/>
        </w:rPr>
        <w:t>A future technology in the therapeutics industry will be the use of smart drugs to control cells as individual systems, manipulating their behaviour. One example of a potential application is to trigger cell death in cancerous or otherwise faulty cells. In order to do this, the theory of systems engineering must be applied to that of cell biology.</w:t>
      </w:r>
    </w:p>
    <w:p w:rsidR="0025754B" w:rsidRPr="0025754B" w:rsidRDefault="0025754B" w:rsidP="0025754B">
      <w:pPr>
        <w:rPr>
          <w:noProof/>
          <w:sz w:val="20"/>
          <w:szCs w:val="20"/>
        </w:rPr>
      </w:pPr>
      <w:r w:rsidRPr="0025754B">
        <w:rPr>
          <w:noProof/>
          <w:sz w:val="20"/>
          <w:szCs w:val="20"/>
        </w:rPr>
        <w:t>Systems engineering requires feedback components in order to control the output variables. In this project, a logarithmic feedback component will be constructed using a theoretical DNA circuit. The component circuit is created using the DNA simulation software, Visual DSD (produced by the Biological Computation Group at Microsoft Research). In Visual DSD, the mechanism of DNA Strand Displacement is exploited to allow for tailored input – output DNA reactions.</w:t>
      </w:r>
    </w:p>
    <w:p w:rsidR="0025754B" w:rsidRPr="0025754B" w:rsidRDefault="0025754B" w:rsidP="0025754B">
      <w:pPr>
        <w:rPr>
          <w:sz w:val="20"/>
          <w:szCs w:val="20"/>
        </w:rPr>
      </w:pPr>
      <w:r w:rsidRPr="0025754B">
        <w:rPr>
          <w:noProof/>
          <w:sz w:val="20"/>
          <w:szCs w:val="20"/>
        </w:rPr>
        <w:t>The ACS – Synthetic Biology Paper, ‘Analog Computation by DNA Strand Displacement Circuits’, outlines a method for creating polynomial functions, which are used in a Maclaurin series approximation of the function f(x) = ln(1+x). Currently, this circuit can perform static calculations within a limited range. Leading up to the ICUR conference this circuit will be adapted for dynamic inputs over a greater range; achieved by adding species annihilation reactions, and extending the range of the multiplication gates used (currently the limiting factor). The findings will be reported to Microsoft Research with a view to being a useful resource for further development of DNA circuit technology.</w:t>
      </w:r>
    </w:p>
    <w:p w:rsidR="0025754B" w:rsidRPr="0025754B" w:rsidRDefault="0025754B" w:rsidP="0025754B"/>
    <w:p w:rsidR="0025754B" w:rsidRDefault="0025754B">
      <w:pPr>
        <w:pStyle w:val="Heading2"/>
      </w:pPr>
      <w:bookmarkStart w:id="28" w:name="_Toc501711915"/>
      <w:r>
        <w:t>Session 5E (Warwick Uni</w:t>
      </w:r>
      <w:r w:rsidR="00615697">
        <w:t>versity, UK &amp; Nanyang Technological University</w:t>
      </w:r>
      <w:r>
        <w:t>, Singapore)</w:t>
      </w:r>
      <w:bookmarkEnd w:id="28"/>
    </w:p>
    <w:p w:rsidR="0025754B" w:rsidRDefault="0025754B" w:rsidP="0025754B">
      <w:pPr>
        <w:rPr>
          <w:i/>
        </w:rPr>
      </w:pPr>
      <w:r w:rsidRPr="0025754B">
        <w:rPr>
          <w:i/>
        </w:rPr>
        <w:t>Theme: Where do I Belong?</w:t>
      </w:r>
    </w:p>
    <w:p w:rsidR="00BF4AE1" w:rsidRDefault="00BF4AE1" w:rsidP="0025754B">
      <w:pPr>
        <w:rPr>
          <w:b/>
          <w:noProof/>
        </w:rPr>
      </w:pPr>
    </w:p>
    <w:p w:rsidR="0025754B" w:rsidRPr="00992B72" w:rsidRDefault="0025754B" w:rsidP="0025754B">
      <w:r w:rsidRPr="00992B72">
        <w:rPr>
          <w:b/>
          <w:noProof/>
        </w:rPr>
        <w:t>Navina</w:t>
      </w:r>
      <w:r w:rsidRPr="00992B72">
        <w:rPr>
          <w:b/>
        </w:rPr>
        <w:t xml:space="preserve"> </w:t>
      </w:r>
      <w:r w:rsidRPr="00992B72">
        <w:rPr>
          <w:b/>
          <w:noProof/>
        </w:rPr>
        <w:t>Rajan</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How Do Mixed-Heritage Individuals Make Sense of Ethnic and Cultural Identity in Everyday Life? Perspectives from personal and social interactions</w:t>
      </w:r>
    </w:p>
    <w:p w:rsidR="0025754B" w:rsidRPr="0025754B" w:rsidRDefault="0025754B" w:rsidP="0025754B">
      <w:pPr>
        <w:rPr>
          <w:noProof/>
          <w:sz w:val="20"/>
          <w:szCs w:val="20"/>
        </w:rPr>
      </w:pPr>
      <w:r w:rsidRPr="0025754B">
        <w:rPr>
          <w:noProof/>
          <w:sz w:val="20"/>
          <w:szCs w:val="20"/>
        </w:rPr>
        <w:t>Third-culture and mixed-heritage individuals are an increasing commonality in an increasingly globalised society. Cultural identity issues surrounding black–white mixes have been discussed, but the fairly recent nature of mixed-heritage groups mean experiences are narrowly explored regarding other mixes. Research is pivotal to gauge cultural identity issues surrounding this increasing trend. I, therefore, ask the question of how mixed-heritage individuals make sense of ethnic and cultural identity in everyday life from personal and social perspectives.</w:t>
      </w:r>
    </w:p>
    <w:p w:rsidR="0025754B" w:rsidRPr="0025754B" w:rsidRDefault="0025754B" w:rsidP="0025754B">
      <w:pPr>
        <w:rPr>
          <w:noProof/>
          <w:sz w:val="20"/>
          <w:szCs w:val="20"/>
        </w:rPr>
      </w:pPr>
      <w:r w:rsidRPr="0025754B">
        <w:rPr>
          <w:noProof/>
          <w:sz w:val="20"/>
          <w:szCs w:val="20"/>
        </w:rPr>
        <w:t xml:space="preserve">Literature has documented the evolution of mixed cultural identity, as individuals follow Phinney’s model of ethnic identity development. It is expected that varying factors are at play, but several commonalities between individual ethnic identity development may occur based on identity theory, social categorisation theory and </w:t>
      </w:r>
      <w:r w:rsidRPr="0025754B">
        <w:rPr>
          <w:noProof/>
          <w:sz w:val="20"/>
          <w:szCs w:val="20"/>
        </w:rPr>
        <w:lastRenderedPageBreak/>
        <w:t>the contact hypothesis. Three mixed-heritage interviewees from Warwick University of a similar demography but varying heritages have been studied, finding similar commonalities in forming mixed-heritage identities such as language, social environment and stereotypes. Defining where they are from was also analysed, finding conflict and collaboration in what ultimately determines each person’s ethnic identity. The data is consistent with Phinney’s ethnic identity development model, demonstrating the three stages of unexamined ethnic identity, ethnic identity search and ethnic identity achievement.</w:t>
      </w:r>
    </w:p>
    <w:p w:rsidR="0025754B" w:rsidRPr="0025754B" w:rsidRDefault="0025754B" w:rsidP="0025754B">
      <w:pPr>
        <w:rPr>
          <w:sz w:val="20"/>
          <w:szCs w:val="20"/>
        </w:rPr>
      </w:pPr>
      <w:r w:rsidRPr="0025754B">
        <w:rPr>
          <w:noProof/>
          <w:sz w:val="20"/>
          <w:szCs w:val="20"/>
        </w:rPr>
        <w:t>Differences among interviewees are vast and each stage is exhibited in varying ways, supporting the consensus in literature that mixed-heritage identity is subjective, shifting and complex. The dynamic nature of some of the participant’s ethnic identity also concords with findings from broader mixed-heritage literature.</w:t>
      </w:r>
    </w:p>
    <w:p w:rsidR="0025754B" w:rsidRDefault="0025754B" w:rsidP="0025754B"/>
    <w:p w:rsidR="0025754B" w:rsidRPr="00992B72" w:rsidRDefault="0025754B" w:rsidP="0025754B">
      <w:r w:rsidRPr="00992B72">
        <w:rPr>
          <w:b/>
          <w:noProof/>
        </w:rPr>
        <w:t>Xiuzhu</w:t>
      </w:r>
      <w:r w:rsidRPr="00992B72">
        <w:rPr>
          <w:b/>
        </w:rPr>
        <w:t xml:space="preserve"> </w:t>
      </w:r>
      <w:r w:rsidRPr="00992B72">
        <w:rPr>
          <w:b/>
          <w:noProof/>
        </w:rPr>
        <w:t>Wang</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The Persistence Effect of Culture on Individual Subjective Wellbeing Among Immigrants in the United States</w:t>
      </w:r>
    </w:p>
    <w:p w:rsidR="0025754B" w:rsidRPr="0025754B" w:rsidRDefault="0025754B" w:rsidP="0025754B">
      <w:pPr>
        <w:rPr>
          <w:noProof/>
          <w:sz w:val="20"/>
          <w:szCs w:val="20"/>
        </w:rPr>
      </w:pPr>
      <w:r w:rsidRPr="0025754B">
        <w:rPr>
          <w:noProof/>
          <w:sz w:val="20"/>
          <w:szCs w:val="20"/>
        </w:rPr>
        <w:t>Despite the strong explanatory power of socio-economic factors in explaining relative subjective wellbeing among individuals, significant cross-country differences remain and appear to be persistent. This presentation presents further evidence that culture factors are the key in explaining the observed differences following the ideas of Rice and Steele (2004), Hajdu and Hajdu (2016) and Senik (2014).</w:t>
      </w:r>
    </w:p>
    <w:p w:rsidR="0025754B" w:rsidRPr="0025754B" w:rsidRDefault="0025754B" w:rsidP="0025754B">
      <w:pPr>
        <w:rPr>
          <w:noProof/>
          <w:sz w:val="20"/>
          <w:szCs w:val="20"/>
        </w:rPr>
      </w:pPr>
      <w:r w:rsidRPr="0025754B">
        <w:rPr>
          <w:noProof/>
          <w:sz w:val="20"/>
          <w:szCs w:val="20"/>
        </w:rPr>
        <w:t>Fernandez’ epidemiological approach is employed to isolate the effect of culture, as the study is focused on immigrants who share the same cultural values with their country of origin and the same external environment as other immigrants. Individual level data is obtained from the General Social Survey (GSS) USA and country level data from the World Values Survey and Hofstede’s 6D culture dimensions. The data is then analysed using econometric techniques to predict the influence of culture on individual subjective wellbeing.</w:t>
      </w:r>
    </w:p>
    <w:p w:rsidR="0025754B" w:rsidRPr="0025754B" w:rsidRDefault="0025754B" w:rsidP="0025754B">
      <w:pPr>
        <w:rPr>
          <w:sz w:val="20"/>
          <w:szCs w:val="20"/>
        </w:rPr>
      </w:pPr>
      <w:r w:rsidRPr="0025754B">
        <w:rPr>
          <w:noProof/>
          <w:sz w:val="20"/>
          <w:szCs w:val="20"/>
        </w:rPr>
        <w:t>This presentation presents econometric evidence of culture being the cause of the East Asian Happiness Gap in the United States, supporting the ideas of psychologists such as Lai</w:t>
      </w:r>
      <w:r w:rsidRPr="0025754B">
        <w:rPr>
          <w:i/>
          <w:noProof/>
          <w:sz w:val="20"/>
          <w:szCs w:val="20"/>
        </w:rPr>
        <w:t xml:space="preserve"> et al.</w:t>
      </w:r>
      <w:r w:rsidRPr="0025754B">
        <w:rPr>
          <w:noProof/>
          <w:sz w:val="20"/>
          <w:szCs w:val="20"/>
        </w:rPr>
        <w:t xml:space="preserve"> (2013) and Uchida</w:t>
      </w:r>
      <w:r w:rsidRPr="0025754B">
        <w:rPr>
          <w:i/>
          <w:noProof/>
          <w:sz w:val="20"/>
          <w:szCs w:val="20"/>
        </w:rPr>
        <w:t xml:space="preserve"> et al.</w:t>
      </w:r>
      <w:r w:rsidRPr="0025754B">
        <w:rPr>
          <w:noProof/>
          <w:sz w:val="20"/>
          <w:szCs w:val="20"/>
        </w:rPr>
        <w:t xml:space="preserve"> (2004). It also goes further than Rice and Steele (2004) by employing richer family ancestral data and find a significant impact of culture in the subjective wellbeing of immigrants. Moreover, the fading of culture is also evident, supporting the findings of Hajdu and Hajdu (2016). Finally, the results show that culture is strongly invariant with individual choices indicating that the relative power of culture is shaped through long-term values not short-term experiences, thus having policy implications.</w:t>
      </w:r>
    </w:p>
    <w:p w:rsidR="0025754B" w:rsidRDefault="0025754B" w:rsidP="0025754B"/>
    <w:p w:rsidR="0025754B" w:rsidRPr="00992B72" w:rsidRDefault="0025754B" w:rsidP="0025754B">
      <w:r w:rsidRPr="00992B72">
        <w:rPr>
          <w:b/>
          <w:noProof/>
        </w:rPr>
        <w:t>Ariff Rizwan Bin Mohammed Eusoff</w:t>
      </w:r>
      <w:r w:rsidRPr="00992B72">
        <w:rPr>
          <w:b/>
        </w:rPr>
        <w:t xml:space="preserve"> </w:t>
      </w:r>
      <w:r w:rsidRPr="00992B72">
        <w:rPr>
          <w:b/>
          <w:noProof/>
        </w:rPr>
        <w:t>Sahab</w:t>
      </w:r>
      <w:r w:rsidRPr="00992B72">
        <w:t xml:space="preserve"> (</w:t>
      </w:r>
      <w:r w:rsidRPr="00992B72">
        <w:rPr>
          <w:noProof/>
        </w:rPr>
        <w:t>Nanyang Technological University (NTU)</w:t>
      </w:r>
      <w:r w:rsidRPr="00992B72">
        <w:t xml:space="preserve">, </w:t>
      </w:r>
      <w:r w:rsidRPr="00992B72">
        <w:rPr>
          <w:noProof/>
        </w:rPr>
        <w:t>Singapore</w:t>
      </w:r>
      <w:r w:rsidR="00A407B0">
        <w:t>)</w:t>
      </w:r>
      <w:r w:rsidR="00A407B0">
        <w:br/>
      </w:r>
      <w:r w:rsidRPr="00992B72">
        <w:rPr>
          <w:i/>
          <w:noProof/>
        </w:rPr>
        <w:t>Attitudes Towards English–Malay Bilingualism Among Young Malays in Singapore</w:t>
      </w:r>
    </w:p>
    <w:p w:rsidR="0025754B" w:rsidRPr="0025754B" w:rsidRDefault="0025754B" w:rsidP="0025754B">
      <w:pPr>
        <w:rPr>
          <w:sz w:val="20"/>
          <w:szCs w:val="20"/>
        </w:rPr>
      </w:pPr>
      <w:r w:rsidRPr="0025754B">
        <w:rPr>
          <w:noProof/>
          <w:sz w:val="20"/>
          <w:szCs w:val="20"/>
        </w:rPr>
        <w:t xml:space="preserve">Singapore is a natural setting for the study of multilingualism given the multilingual composition of its residents and the State’s language-in-education policy that places a premium on bilingualism (English and a mother tongue). The English language holds more importance than the mother tongue language in school as English is the medium of instructions for other subjects. There is a huge disproportion with regards to the time assigned to the teaching of the English and mother tongue languages in schools. There have been attitudinal studies to investigate students’ perception of their bilingual identity but the focus has been on English–Chinese bilinguals. Little is known about the attitude towards English–Malay bilingualism. This paper reports on a study that surveys the attitudes of 120 young Malays in Singapore towards their English–Malay bilingualism and their identity as English–Malay bilinguals. The survey is stratified along educational status, self-rated language proficiency, spoken language, dominant home language, gender and socio-economic status towards the perceived benefits and advantages associated with English–Malay bilingualism. The findings suggest that young Malays’ generally have a positive attitude towards English–Malay bilingualism and their English–Malay bilingual identity – regardless of occupational, gender, socio-economic status, dominant home language, dominant personal language and self-rated language proficiency. Yet they consider being English–Malay </w:t>
      </w:r>
      <w:r w:rsidRPr="0025754B">
        <w:rPr>
          <w:noProof/>
          <w:sz w:val="20"/>
          <w:szCs w:val="20"/>
        </w:rPr>
        <w:lastRenderedPageBreak/>
        <w:t>bilingual as less useful than being English–Chinese bilingual. This paper contributes to our understanding of the impact that the language-in-education policy has on English–Malay bilinguals and how their perception of English vis-à-vis Malay and the other mother tongue languages shapes their identity and attitude.</w:t>
      </w:r>
    </w:p>
    <w:p w:rsidR="0025754B" w:rsidRDefault="0025754B" w:rsidP="0025754B"/>
    <w:p w:rsidR="0025754B" w:rsidRPr="00992B72" w:rsidRDefault="0025754B" w:rsidP="0025754B">
      <w:r w:rsidRPr="00992B72">
        <w:rPr>
          <w:b/>
          <w:noProof/>
        </w:rPr>
        <w:t>Zi Jin Cheryl</w:t>
      </w:r>
      <w:r w:rsidRPr="00992B72">
        <w:rPr>
          <w:b/>
        </w:rPr>
        <w:t xml:space="preserve"> </w:t>
      </w:r>
      <w:r w:rsidRPr="00992B72">
        <w:rPr>
          <w:b/>
          <w:noProof/>
        </w:rPr>
        <w:t>Phua</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Recent Positive Selection in Singaporean Populations</w:t>
      </w:r>
    </w:p>
    <w:p w:rsidR="0025754B" w:rsidRDefault="0025754B" w:rsidP="0025754B">
      <w:pPr>
        <w:rPr>
          <w:noProof/>
          <w:sz w:val="20"/>
          <w:szCs w:val="20"/>
        </w:rPr>
      </w:pPr>
      <w:r w:rsidRPr="0025754B">
        <w:rPr>
          <w:noProof/>
          <w:sz w:val="20"/>
          <w:szCs w:val="20"/>
        </w:rPr>
        <w:t>We detected genes under recent positive selection in the three main populations of Singapore, namely the Chinese, Malays and Indians, by searching for 200,000 kb windows with high absolute integrated haplotype scores (iHS) ≥ 2 in their respective genomes. Of the genes under selection, 50–70% were unique in each population, with the highest positively selected genes in the Chinese genome potentially protecting against cancer, coding for proper body development in the Malay genome and protecting against myelodysplastic syndrome in Indians. Common genes found in the three populations were mainly pseudogenes potentially involved in gene regulation. Some of those genes were found to be under selection in the ancestral populations as well, such as selection for systemic lupus erythematosus in the Chinese. Among the top 1% of genomic regions with the strongest evidence of recent positive selection, individual gene coding for specific functions was significantly more prevalent than clusters of enriched genes with the same function. Comparison with datasets from other populations from North India, South India, North Asia and East Asia showed evidence of similar selection in these other regions of the ancestral countries. All these suggest that the three Singaporean populations bring with them a large portion of their adaptations from ancestral environments, which may lead them to respond differently to Singapore’s environment.</w:t>
      </w:r>
    </w:p>
    <w:p w:rsidR="00A407B0" w:rsidRPr="0025754B" w:rsidRDefault="00A407B0" w:rsidP="0025754B">
      <w:pPr>
        <w:rPr>
          <w:sz w:val="20"/>
          <w:szCs w:val="20"/>
        </w:rPr>
      </w:pPr>
    </w:p>
    <w:p w:rsidR="0025754B" w:rsidRDefault="0025754B">
      <w:pPr>
        <w:pStyle w:val="Heading2"/>
      </w:pPr>
      <w:bookmarkStart w:id="29" w:name="_Toc501711916"/>
      <w:r>
        <w:t>Session 5F (Monash University, Australia &amp; Warwick University, UK)</w:t>
      </w:r>
      <w:bookmarkEnd w:id="29"/>
    </w:p>
    <w:p w:rsidR="0025754B" w:rsidRDefault="0025754B" w:rsidP="0025754B">
      <w:pPr>
        <w:rPr>
          <w:i/>
        </w:rPr>
      </w:pPr>
      <w:r w:rsidRPr="0025754B">
        <w:rPr>
          <w:i/>
        </w:rPr>
        <w:t>Theme: Reproductive Rights</w:t>
      </w:r>
    </w:p>
    <w:p w:rsidR="00BF4AE1" w:rsidRDefault="00BF4AE1" w:rsidP="00887D6D">
      <w:pPr>
        <w:rPr>
          <w:b/>
          <w:noProof/>
        </w:rPr>
      </w:pPr>
    </w:p>
    <w:p w:rsidR="00887D6D" w:rsidRPr="005E52C9" w:rsidRDefault="00887D6D" w:rsidP="00887D6D">
      <w:r w:rsidRPr="005E52C9">
        <w:rPr>
          <w:b/>
          <w:noProof/>
        </w:rPr>
        <w:t>Jana</w:t>
      </w:r>
      <w:r w:rsidRPr="005E52C9">
        <w:rPr>
          <w:b/>
        </w:rPr>
        <w:t xml:space="preserve"> </w:t>
      </w:r>
      <w:r w:rsidRPr="005E52C9">
        <w:rPr>
          <w:b/>
          <w:noProof/>
        </w:rPr>
        <w:t>Howden</w:t>
      </w:r>
      <w:r w:rsidRPr="005E52C9">
        <w:t xml:space="preserve"> (</w:t>
      </w:r>
      <w:r w:rsidRPr="005E52C9">
        <w:rPr>
          <w:noProof/>
        </w:rPr>
        <w:t>Monash University</w:t>
      </w:r>
      <w:r w:rsidRPr="005E52C9">
        <w:t xml:space="preserve">, </w:t>
      </w:r>
      <w:r w:rsidRPr="005E52C9">
        <w:rPr>
          <w:noProof/>
        </w:rPr>
        <w:t>Australia</w:t>
      </w:r>
      <w:r w:rsidR="00A407B0">
        <w:t>)</w:t>
      </w:r>
      <w:r w:rsidR="00A407B0">
        <w:br/>
      </w:r>
      <w:r w:rsidRPr="005E52C9">
        <w:rPr>
          <w:i/>
          <w:noProof/>
        </w:rPr>
        <w:t>Taking the State to Bed: East and West German perspectives on the birth control pill, 1961–1970</w:t>
      </w:r>
    </w:p>
    <w:p w:rsidR="00887D6D" w:rsidRPr="00887D6D" w:rsidRDefault="00887D6D" w:rsidP="00887D6D">
      <w:pPr>
        <w:rPr>
          <w:sz w:val="20"/>
          <w:szCs w:val="20"/>
        </w:rPr>
      </w:pPr>
      <w:r w:rsidRPr="00887D6D">
        <w:rPr>
          <w:noProof/>
          <w:sz w:val="20"/>
          <w:szCs w:val="20"/>
        </w:rPr>
        <w:t>The birth control pill is widely regarded today as an emancipator of women, a key factor that contributed to the sexual revolution and a step forward in the long path towards gender equality. Yet an analysis of its introduction in the setting of East and West Germany offers a glimpse into another interpretation of the pill – one in which its history cannot easily be severed from political imperatives, ideological impositions and gendered understandings of society. Reams of literature have been written regarding post-war Germany and the Cold War period. My research instead utilises the discourses surrounding the pill in print media to present an alternate interpretation of the Cold War history, while offering a critical view of the pill’s history in order to challenge narratives that portray the drug purely as a force for good. Primary newspaper articles allow for an analysis of the ways in which the pill was presented to the public, both in East and West Germany. My research questions why the pill was introduced in each of the German states given the religious, ideological and social resistance towards contraception that existed throughout the period. Focusing on three key areas – the pill’s introduction to the Federal Republic of Germany (FRG) in 1961, its introduction to the German Democratic Republic (GDR) in 1964, and the FRG student protests of 1968 – facilitates a comparative analysis that provides a novel way of exploring political tensions, and social conventions, that existed between East and West Germany in the Cold War era.</w:t>
      </w:r>
    </w:p>
    <w:p w:rsidR="00887D6D" w:rsidRDefault="00887D6D" w:rsidP="00887D6D">
      <w:pPr>
        <w:rPr>
          <w:b/>
          <w:noProof/>
        </w:rPr>
      </w:pPr>
    </w:p>
    <w:p w:rsidR="00887D6D" w:rsidRPr="00992B72" w:rsidRDefault="00887D6D" w:rsidP="00887D6D">
      <w:r w:rsidRPr="00992B72">
        <w:rPr>
          <w:b/>
          <w:noProof/>
        </w:rPr>
        <w:t>Monica</w:t>
      </w:r>
      <w:r w:rsidRPr="00992B72">
        <w:rPr>
          <w:b/>
        </w:rPr>
        <w:t xml:space="preserve"> </w:t>
      </w:r>
      <w:r w:rsidRPr="00992B72">
        <w:rPr>
          <w:b/>
          <w:noProof/>
        </w:rPr>
        <w:t>Fiore</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Behaviour Modification and Pregnancy: How does behaviour modification during pregnancy influence the antenatal and postnatal experience for first-time expectant mothers?</w:t>
      </w:r>
    </w:p>
    <w:p w:rsidR="00887D6D" w:rsidRPr="00887D6D" w:rsidRDefault="00887D6D" w:rsidP="00887D6D">
      <w:pPr>
        <w:rPr>
          <w:noProof/>
          <w:sz w:val="20"/>
          <w:szCs w:val="20"/>
        </w:rPr>
      </w:pPr>
      <w:r w:rsidRPr="00887D6D">
        <w:rPr>
          <w:noProof/>
          <w:sz w:val="20"/>
          <w:szCs w:val="20"/>
        </w:rPr>
        <w:lastRenderedPageBreak/>
        <w:t>Childbirth, exclusively the function of the female body, places discourses surrounding childbirth and motherhood as natural for women and positions the role of ‘mother’ as biological and immutable.</w:t>
      </w:r>
    </w:p>
    <w:p w:rsidR="00887D6D" w:rsidRPr="00887D6D" w:rsidRDefault="00887D6D" w:rsidP="00887D6D">
      <w:pPr>
        <w:rPr>
          <w:noProof/>
          <w:sz w:val="20"/>
          <w:szCs w:val="20"/>
        </w:rPr>
      </w:pPr>
      <w:r w:rsidRPr="00887D6D">
        <w:rPr>
          <w:noProof/>
          <w:sz w:val="20"/>
          <w:szCs w:val="20"/>
        </w:rPr>
        <w:t>Social expectations have an impact on the experiences of pregnant women and impact the way in which they view their pregnancies, bodies and selves. Centred in a personal journey, this paper is a deeply introspective reflection of a desire to understand my own personal struggle to adjust to the social discourse that implied adaptation to the socially constructed role of motherhood without protest, with exhibition of positive emotional reactions and little disturbance to daily life.</w:t>
      </w:r>
    </w:p>
    <w:p w:rsidR="00887D6D" w:rsidRPr="00887D6D" w:rsidRDefault="00887D6D" w:rsidP="00887D6D">
      <w:pPr>
        <w:rPr>
          <w:noProof/>
          <w:sz w:val="20"/>
          <w:szCs w:val="20"/>
        </w:rPr>
      </w:pPr>
      <w:r w:rsidRPr="00887D6D">
        <w:rPr>
          <w:noProof/>
          <w:sz w:val="20"/>
          <w:szCs w:val="20"/>
        </w:rPr>
        <w:t>This study aims to explore the ways in which medical, scientific, social and popular discourses about behaviour modification during pregnancy create a subjective interpretation that frames an expectant mother’s understanding and experience of pregnancy as a potential risk factor for predicting postnatal depression.</w:t>
      </w:r>
    </w:p>
    <w:p w:rsidR="00887D6D" w:rsidRPr="00887D6D" w:rsidRDefault="00887D6D" w:rsidP="00887D6D">
      <w:pPr>
        <w:rPr>
          <w:noProof/>
          <w:sz w:val="20"/>
          <w:szCs w:val="20"/>
        </w:rPr>
      </w:pPr>
      <w:r w:rsidRPr="00887D6D">
        <w:rPr>
          <w:noProof/>
          <w:sz w:val="20"/>
          <w:szCs w:val="20"/>
        </w:rPr>
        <w:t>Foucault’s notion of self-regulation and an understanding of his writings on discourse, power and discipline, incorporate the theoretical framework to analyse how truth-claims attach to these discourses to examine how social interactions are subjectively interpreted and categorised.</w:t>
      </w:r>
    </w:p>
    <w:p w:rsidR="00887D6D" w:rsidRPr="00887D6D" w:rsidRDefault="00887D6D" w:rsidP="00887D6D">
      <w:pPr>
        <w:rPr>
          <w:sz w:val="20"/>
          <w:szCs w:val="20"/>
        </w:rPr>
      </w:pPr>
      <w:r w:rsidRPr="00887D6D">
        <w:rPr>
          <w:noProof/>
          <w:sz w:val="20"/>
          <w:szCs w:val="20"/>
        </w:rPr>
        <w:t>The aim of this study is to develop a greater understanding into the variety of complex subjective meanings attached to pregnancy and to analyse how subjective meaning contributes to an expectant mother’s pregnancy experience.</w:t>
      </w:r>
    </w:p>
    <w:p w:rsidR="0025754B" w:rsidRDefault="0025754B" w:rsidP="0025754B"/>
    <w:p w:rsidR="00887D6D" w:rsidRPr="00992B72" w:rsidRDefault="00887D6D" w:rsidP="00887D6D">
      <w:r w:rsidRPr="00992B72">
        <w:rPr>
          <w:b/>
          <w:noProof/>
        </w:rPr>
        <w:t>Larissa</w:t>
      </w:r>
      <w:r w:rsidRPr="00992B72">
        <w:rPr>
          <w:b/>
        </w:rPr>
        <w:t xml:space="preserve"> </w:t>
      </w:r>
      <w:r w:rsidRPr="00992B72">
        <w:rPr>
          <w:b/>
          <w:noProof/>
        </w:rPr>
        <w:t>Kennedy</w:t>
      </w:r>
      <w:r w:rsidRPr="00992B72">
        <w:t xml:space="preserve"> (</w:t>
      </w:r>
      <w:r w:rsidRPr="00992B72">
        <w:rPr>
          <w:noProof/>
        </w:rPr>
        <w:t>University of Warwick</w:t>
      </w:r>
      <w:r w:rsidRPr="00992B72">
        <w:t xml:space="preserve">, </w:t>
      </w:r>
      <w:r w:rsidRPr="00992B72">
        <w:rPr>
          <w:noProof/>
        </w:rPr>
        <w:t>UK</w:t>
      </w:r>
      <w:r w:rsidR="00A407B0">
        <w:t>)</w:t>
      </w:r>
      <w:r w:rsidR="00A407B0">
        <w:br/>
      </w:r>
      <w:r w:rsidRPr="00992B72">
        <w:rPr>
          <w:i/>
          <w:noProof/>
        </w:rPr>
        <w:t>Female Genital Mutilation in the UK</w:t>
      </w:r>
    </w:p>
    <w:p w:rsidR="00887D6D" w:rsidRPr="00887D6D" w:rsidRDefault="00887D6D" w:rsidP="00887D6D">
      <w:pPr>
        <w:rPr>
          <w:sz w:val="20"/>
          <w:szCs w:val="20"/>
        </w:rPr>
      </w:pPr>
      <w:r w:rsidRPr="00887D6D">
        <w:rPr>
          <w:noProof/>
          <w:sz w:val="20"/>
          <w:szCs w:val="20"/>
        </w:rPr>
        <w:t>The World Health Organisation defines Female Genital Mutilation (FGM) as ‘all procedures that involve partial or total removal of external female genitalia or other injury to the female genital organs for non-therapeutic reasons’. My research focuses on FGM in the UK and considers the following: the prevalence of FGM within diaspora communities; what steps need to be taken to counter its persistence; and the astronomically low conviction rates of the practice. The study focuses on religious leaders, community advocates, national and local organisations, youth-led initiatives and the cross-departmental efforts from the government. It analyses their methodological approaches to preventing the practice and providing support for victims, considering the positive and negative effects of these efforts as well as potential areas of improvement. This research also compiles the findings and recommendations of a number of leading organisations working to end FGM in order to ascertain the likelihood of ending FGM in the UK within a generation. Research into FGM in the UK is needed now, because only recently have statistics into its prevalence and the reasons for its persistence here been collected, meaning that, those trying to combat the issue within these diaspora communities are largely based on the responses from organisations working in the countries of origin. This research looks specifically at whether this reaction is appropriate in light of the hybridity of culture experienced by those continuing the practice in the UK and the most effective options in pursuit of ending FGM in the country within a generation.</w:t>
      </w:r>
    </w:p>
    <w:p w:rsidR="00887D6D" w:rsidRPr="00992B72" w:rsidRDefault="00887D6D" w:rsidP="00887D6D"/>
    <w:p w:rsidR="00887D6D" w:rsidRPr="00992B72" w:rsidRDefault="00887D6D" w:rsidP="00887D6D">
      <w:r w:rsidRPr="00992B72">
        <w:rPr>
          <w:b/>
          <w:noProof/>
        </w:rPr>
        <w:t>Charlotte</w:t>
      </w:r>
      <w:r w:rsidRPr="00992B72">
        <w:rPr>
          <w:b/>
        </w:rPr>
        <w:t xml:space="preserve"> </w:t>
      </w:r>
      <w:r w:rsidRPr="00992B72">
        <w:rPr>
          <w:b/>
          <w:noProof/>
        </w:rPr>
        <w:t>Bucchioni</w:t>
      </w:r>
      <w:r w:rsidRPr="00992B72">
        <w:t xml:space="preserve"> (</w:t>
      </w:r>
      <w:r w:rsidRPr="00992B72">
        <w:rPr>
          <w:noProof/>
        </w:rPr>
        <w:t>University of Warwick</w:t>
      </w:r>
      <w:r w:rsidRPr="00992B72">
        <w:t xml:space="preserve">, </w:t>
      </w:r>
      <w:r w:rsidRPr="00992B72">
        <w:rPr>
          <w:noProof/>
        </w:rPr>
        <w:t>UK</w:t>
      </w:r>
      <w:r w:rsidR="00A407B0">
        <w:t>)</w:t>
      </w:r>
      <w:r w:rsidR="00A407B0">
        <w:br/>
      </w:r>
      <w:r w:rsidRPr="00992B72">
        <w:rPr>
          <w:i/>
          <w:noProof/>
        </w:rPr>
        <w:t>The Impact of Paternity Leave on Female Employment in Developing Countries</w:t>
      </w:r>
    </w:p>
    <w:p w:rsidR="00887D6D" w:rsidRPr="00887D6D" w:rsidRDefault="00887D6D" w:rsidP="00887D6D">
      <w:pPr>
        <w:rPr>
          <w:noProof/>
          <w:sz w:val="20"/>
          <w:szCs w:val="20"/>
        </w:rPr>
      </w:pPr>
      <w:r w:rsidRPr="00887D6D">
        <w:rPr>
          <w:noProof/>
          <w:sz w:val="20"/>
          <w:szCs w:val="20"/>
        </w:rPr>
        <w:t>To this day, governments and businesses have taken multiple actions to improve women’s job market prospects. Whether under one form or the other (positive discrimination, financial incentives or sanctions, among others), efforts towards gender equality have been undertaken. Being the fifth objective on the UN Sustainable Development Goals’ list, the adoption of gender equality measures has even been put forward as a condition for financing by international institutions.</w:t>
      </w:r>
    </w:p>
    <w:p w:rsidR="00887D6D" w:rsidRPr="00887D6D" w:rsidRDefault="00887D6D" w:rsidP="00887D6D">
      <w:pPr>
        <w:rPr>
          <w:noProof/>
          <w:sz w:val="20"/>
          <w:szCs w:val="20"/>
        </w:rPr>
      </w:pPr>
      <w:r w:rsidRPr="00887D6D">
        <w:rPr>
          <w:noProof/>
          <w:sz w:val="20"/>
          <w:szCs w:val="20"/>
        </w:rPr>
        <w:t>Nowadays, women entering the labour market in OECD countries tend to be comparably – and often more – qualified than their male counterparts. Nevertheless, they are less likely to pursue a lifelong career, and more likely to be employed in lower-paid sectors with temporary contracts.</w:t>
      </w:r>
    </w:p>
    <w:p w:rsidR="00887D6D" w:rsidRPr="00887D6D" w:rsidRDefault="00887D6D" w:rsidP="00887D6D">
      <w:pPr>
        <w:rPr>
          <w:noProof/>
          <w:sz w:val="20"/>
          <w:szCs w:val="20"/>
        </w:rPr>
      </w:pPr>
      <w:r w:rsidRPr="00887D6D">
        <w:rPr>
          <w:noProof/>
          <w:sz w:val="20"/>
          <w:szCs w:val="20"/>
        </w:rPr>
        <w:lastRenderedPageBreak/>
        <w:t>Recently, stress was put on expanding the exclusive use of father’s parental leave entitlements as a policy implementation to promote gender equality in employment. This research project explores the nature of paternity leave policies across different countries to assess its impact on female employment patterns.</w:t>
      </w:r>
    </w:p>
    <w:p w:rsidR="00887D6D" w:rsidRPr="00887D6D" w:rsidRDefault="00887D6D" w:rsidP="00887D6D">
      <w:pPr>
        <w:rPr>
          <w:noProof/>
          <w:sz w:val="20"/>
          <w:szCs w:val="20"/>
        </w:rPr>
      </w:pPr>
      <w:r w:rsidRPr="00887D6D">
        <w:rPr>
          <w:noProof/>
          <w:sz w:val="20"/>
          <w:szCs w:val="20"/>
        </w:rPr>
        <w:t>This project will rely on empirical data made available by international institutions (Eurostat, OECD) such as the ‘unadjusted gender pay gap’ variable. The latter has revealed very useful for its frequency, comparability, accessibility and wide usage. We are also to draw some links with existing literature and studies published recently, which have validated the existence of a correlation between paternity leave and female employment perspectives.</w:t>
      </w:r>
    </w:p>
    <w:p w:rsidR="00887D6D" w:rsidRPr="00887D6D" w:rsidRDefault="00887D6D" w:rsidP="00887D6D">
      <w:pPr>
        <w:rPr>
          <w:sz w:val="20"/>
          <w:szCs w:val="20"/>
        </w:rPr>
      </w:pPr>
      <w:r w:rsidRPr="00887D6D">
        <w:rPr>
          <w:noProof/>
          <w:sz w:val="20"/>
          <w:szCs w:val="20"/>
        </w:rPr>
        <w:t>The result of the research shows a greater correlation between paternity leave and women’s employment in developing countries. Indeed, an increase in the proportion of women in a standard firm, by 6.8%, has been witnessed when moving from a country that does not mandate paternity leave to a country that does. This positive relation, if successfully promoted by institutional decision, has the potential to restructure the labour market, curtailing the systematic discrimination women experience.</w:t>
      </w:r>
    </w:p>
    <w:p w:rsidR="00887D6D" w:rsidRPr="0025754B" w:rsidRDefault="00887D6D" w:rsidP="0025754B"/>
    <w:p w:rsidR="0025754B" w:rsidRDefault="0025754B">
      <w:pPr>
        <w:pStyle w:val="Heading2"/>
      </w:pPr>
      <w:bookmarkStart w:id="30" w:name="_Toc501711917"/>
      <w:r>
        <w:t xml:space="preserve">Session 5G (Monash University, Australia &amp; Nanyang </w:t>
      </w:r>
      <w:r w:rsidR="00615697">
        <w:t>Technological University</w:t>
      </w:r>
      <w:r>
        <w:t>, Singapore)</w:t>
      </w:r>
      <w:bookmarkEnd w:id="30"/>
    </w:p>
    <w:p w:rsidR="0025754B" w:rsidRDefault="00887D6D" w:rsidP="0025754B">
      <w:pPr>
        <w:rPr>
          <w:i/>
        </w:rPr>
      </w:pPr>
      <w:r>
        <w:rPr>
          <w:i/>
        </w:rPr>
        <w:t xml:space="preserve">Theme: </w:t>
      </w:r>
      <w:r w:rsidRPr="00887D6D">
        <w:rPr>
          <w:i/>
        </w:rPr>
        <w:t>Manipulating Cellular Technology</w:t>
      </w:r>
    </w:p>
    <w:p w:rsidR="00887D6D" w:rsidRDefault="00887D6D" w:rsidP="00887D6D">
      <w:pPr>
        <w:rPr>
          <w:b/>
          <w:noProof/>
        </w:rPr>
      </w:pPr>
    </w:p>
    <w:p w:rsidR="00887D6D" w:rsidRPr="00992B72" w:rsidRDefault="00887D6D" w:rsidP="00887D6D">
      <w:r w:rsidRPr="00992B72">
        <w:rPr>
          <w:b/>
          <w:noProof/>
        </w:rPr>
        <w:t>Ameena</w:t>
      </w:r>
      <w:r w:rsidRPr="00992B72">
        <w:rPr>
          <w:b/>
        </w:rPr>
        <w:t xml:space="preserve"> </w:t>
      </w:r>
      <w:r w:rsidRPr="00992B72">
        <w:rPr>
          <w:b/>
          <w:noProof/>
        </w:rPr>
        <w:t>Fahma</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Overcome Chemo-Resistance in AML Patients</w:t>
      </w:r>
    </w:p>
    <w:p w:rsidR="00887D6D" w:rsidRPr="00887D6D" w:rsidRDefault="00887D6D" w:rsidP="00887D6D">
      <w:pPr>
        <w:rPr>
          <w:noProof/>
          <w:sz w:val="20"/>
          <w:szCs w:val="20"/>
        </w:rPr>
      </w:pPr>
      <w:r w:rsidRPr="00887D6D">
        <w:rPr>
          <w:noProof/>
          <w:sz w:val="20"/>
          <w:szCs w:val="20"/>
        </w:rPr>
        <w:t>Acute Myeloid Leukaemia (AML) is an aggressive malignancy characterised by the expansion and accumulation of immature blast cells in the bone marrow (BM) and periphery. The number of differentiated red blood cells, white blood cells and platelets are significantly reduced in this disease. The mainstay of treatment for AML is chemotherapy. Although induction chemotherapy may lead to substantial reductions in leukemic burden, the majority of patients relapse within the first 12 months due to failure to eradicate residual disease. Four decades of clinical research have failed to identify new therapeutics to augment or replace chemotherapeutic agents such as cytarabine (Ara-C) and anthracyclines (e.g. idarubicin), despite the substantial toxicities caused by these agents, leading to a constellation of chemotherapy side effects.</w:t>
      </w:r>
    </w:p>
    <w:p w:rsidR="00887D6D" w:rsidRPr="00887D6D" w:rsidRDefault="00887D6D" w:rsidP="00887D6D">
      <w:pPr>
        <w:rPr>
          <w:sz w:val="20"/>
          <w:szCs w:val="20"/>
        </w:rPr>
      </w:pPr>
      <w:r w:rsidRPr="00887D6D">
        <w:rPr>
          <w:noProof/>
          <w:sz w:val="20"/>
          <w:szCs w:val="20"/>
        </w:rPr>
        <w:t>P53, a tumour suppressor gene, is a major regulator of cellular response to stress. The lack of wild-type p53 function impairs cell death and repair processes, increasing the probability of acquiring new passenger mutations from other genes. Since P53 mutations are dominant in patients with complex karyotype AML, there is a need to develop targeted therapies against its downstream regulators of apoptosis such as the BCL2 and MCL1 family of proteins. In an effort to circumvent the current issues of the chemotherapy treatment, my aim is to examine whether combined BCL2 and MCL1 inhibitor therapy can overcome TP53 mediated chemo-resistance. The interpretation of the results can be used to develop novel therapies for improving patient outcomes and to target a wider range of the AML population.</w:t>
      </w:r>
    </w:p>
    <w:p w:rsidR="00887D6D" w:rsidRDefault="00887D6D" w:rsidP="0025754B">
      <w:pPr>
        <w:rPr>
          <w:i/>
        </w:rPr>
      </w:pPr>
    </w:p>
    <w:p w:rsidR="00887D6D" w:rsidRPr="00992B72" w:rsidRDefault="00887D6D" w:rsidP="00887D6D">
      <w:r w:rsidRPr="00992B72">
        <w:rPr>
          <w:b/>
          <w:noProof/>
        </w:rPr>
        <w:t>Kayla</w:t>
      </w:r>
      <w:r w:rsidRPr="00992B72">
        <w:rPr>
          <w:b/>
        </w:rPr>
        <w:t xml:space="preserve"> </w:t>
      </w:r>
      <w:r w:rsidRPr="00992B72">
        <w:rPr>
          <w:b/>
          <w:noProof/>
        </w:rPr>
        <w:t>Wong</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Functional Bias During Mesodermal Differentiation in Early- and Late-Passage iPSCs</w:t>
      </w:r>
    </w:p>
    <w:p w:rsidR="00887D6D" w:rsidRPr="00887D6D" w:rsidRDefault="00887D6D" w:rsidP="00887D6D">
      <w:pPr>
        <w:rPr>
          <w:sz w:val="20"/>
          <w:szCs w:val="20"/>
        </w:rPr>
      </w:pPr>
      <w:r w:rsidRPr="00887D6D">
        <w:rPr>
          <w:noProof/>
          <w:sz w:val="20"/>
          <w:szCs w:val="20"/>
        </w:rPr>
        <w:t xml:space="preserve">Induced pluripotent stem cells (iPSCs) are cells that resemble embryonic stem cells (ESCs) in both morphology and characteristics. They are able to differentiate into tissue types representative from all three embryonic germ layers. There are, however, subtle differences between iPSCs and ESCs, one of which is the retention of epigenetic memory by iPSCs. Both mouse and human iPSCs are known to possess an epigenetic memory that results in the functional bias of these cell types to differentiate into lineages according to their cell of origin. It </w:t>
      </w:r>
      <w:r w:rsidRPr="00887D6D">
        <w:rPr>
          <w:noProof/>
          <w:sz w:val="20"/>
          <w:szCs w:val="20"/>
        </w:rPr>
        <w:lastRenderedPageBreak/>
        <w:t>is unclear whether this bias is retained in late-passage iPSCs. Here, we compare the functional bias of early- and late-passage mouse iPSCs into the mesodermal cell lineage by in-vitro differentiation. We found that functional memory is still present in early passage iPSCs, and is retained in late-passage iPSCs.</w:t>
      </w:r>
    </w:p>
    <w:p w:rsidR="00887D6D" w:rsidRDefault="00887D6D" w:rsidP="0025754B">
      <w:pPr>
        <w:rPr>
          <w:i/>
        </w:rPr>
      </w:pPr>
    </w:p>
    <w:p w:rsidR="00887D6D" w:rsidRPr="00992B72" w:rsidRDefault="00887D6D" w:rsidP="00887D6D">
      <w:r w:rsidRPr="00992B72">
        <w:rPr>
          <w:b/>
          <w:noProof/>
        </w:rPr>
        <w:t>Audrey Miranda</w:t>
      </w:r>
      <w:r w:rsidRPr="00992B72">
        <w:rPr>
          <w:b/>
        </w:rPr>
        <w:t xml:space="preserve"> </w:t>
      </w:r>
      <w:r w:rsidRPr="00992B72">
        <w:rPr>
          <w:b/>
          <w:noProof/>
        </w:rPr>
        <w:t>Prasetya</w:t>
      </w:r>
      <w:r w:rsidRPr="00992B72">
        <w:t xml:space="preserve"> (</w:t>
      </w:r>
      <w:r w:rsidRPr="00992B72">
        <w:rPr>
          <w:noProof/>
        </w:rPr>
        <w:t>Monash University</w:t>
      </w:r>
      <w:r w:rsidRPr="00992B72">
        <w:t xml:space="preserve">, </w:t>
      </w:r>
      <w:r w:rsidRPr="00992B72">
        <w:rPr>
          <w:noProof/>
        </w:rPr>
        <w:t>Australia</w:t>
      </w:r>
      <w:r w:rsidRPr="00992B72">
        <w:t>)</w:t>
      </w:r>
      <w:r>
        <w:br/>
      </w:r>
      <w:r w:rsidRPr="00992B72">
        <w:rPr>
          <w:i/>
          <w:noProof/>
        </w:rPr>
        <w:t>Interactions Between Local Adaptation, Nutrition and Temperature Influence Larval Thermal Stress in Drosophila melanogaster</w:t>
      </w:r>
    </w:p>
    <w:p w:rsidR="00887D6D" w:rsidRPr="00B64179" w:rsidRDefault="00887D6D" w:rsidP="00887D6D">
      <w:pPr>
        <w:rPr>
          <w:sz w:val="20"/>
          <w:szCs w:val="20"/>
        </w:rPr>
      </w:pPr>
      <w:r w:rsidRPr="00B64179">
        <w:rPr>
          <w:noProof/>
          <w:sz w:val="20"/>
          <w:szCs w:val="20"/>
        </w:rPr>
        <w:t>The study of thermal stress tolerance is fundamental to understanding how organisms’ responses to projected increases in extreme temperature events under climate change. This is particularly true for ectothermic organisms, which rely on the environment to regulate body temperature. In addition to temperature, food limitation is one of the most common environmental challenges faced by animals and will become increasingly so under climate change. Yet, few studies have explicitly examined how nutrition and thermal stress interact to affect population responses to climate change. The aim of the current study was to investigate the effects of developmental temperature (25</w:t>
      </w:r>
      <w:r w:rsidRPr="00B64179">
        <w:rPr>
          <w:noProof/>
          <w:sz w:val="20"/>
          <w:szCs w:val="20"/>
          <w:vertAlign w:val="superscript"/>
        </w:rPr>
        <w:t>o</w:t>
      </w:r>
      <w:r w:rsidRPr="00B64179">
        <w:rPr>
          <w:noProof/>
          <w:sz w:val="20"/>
          <w:szCs w:val="20"/>
        </w:rPr>
        <w:t>C and 28</w:t>
      </w:r>
      <w:r w:rsidRPr="00B64179">
        <w:rPr>
          <w:noProof/>
          <w:sz w:val="20"/>
          <w:szCs w:val="20"/>
          <w:vertAlign w:val="superscript"/>
        </w:rPr>
        <w:t>o</w:t>
      </w:r>
      <w:r w:rsidRPr="00B64179">
        <w:rPr>
          <w:noProof/>
          <w:sz w:val="20"/>
          <w:szCs w:val="20"/>
        </w:rPr>
        <w:t xml:space="preserve">C) and nutrition (high/low protein and high/low-calories) on larval </w:t>
      </w:r>
      <w:r w:rsidRPr="00B64179">
        <w:rPr>
          <w:i/>
          <w:noProof/>
          <w:sz w:val="20"/>
          <w:szCs w:val="20"/>
        </w:rPr>
        <w:t>Drosophila melanogaster</w:t>
      </w:r>
      <w:r w:rsidRPr="00B64179">
        <w:rPr>
          <w:noProof/>
          <w:sz w:val="20"/>
          <w:szCs w:val="20"/>
        </w:rPr>
        <w:t xml:space="preserve"> survival to acute heat and cold stress. In addition, larvae from two populations of </w:t>
      </w:r>
      <w:r w:rsidRPr="00B64179">
        <w:rPr>
          <w:i/>
          <w:noProof/>
          <w:sz w:val="20"/>
          <w:szCs w:val="20"/>
        </w:rPr>
        <w:t>Drosophila melanogaster</w:t>
      </w:r>
      <w:r w:rsidRPr="00B64179">
        <w:rPr>
          <w:noProof/>
          <w:sz w:val="20"/>
          <w:szCs w:val="20"/>
        </w:rPr>
        <w:t xml:space="preserve"> – known to be locally adapted to varying climatic conditions (tropical Innisfail and temperate Melbourne) – were examined to determine whether larval responses were population-specific. Larval survival was significantly affected by both development temperature and nutrition but in a stress-specific way: for both populations, high protein diets increased survival after cold-shocked, whereas high-calorie diets increased larval survival after heat stress. Development was also significantly affected by diet, developmental temperature and thermal stress. However, developmental temperature and acute heat and cold shock had larger effects on diet, although these effects were population-specific. The results from this study suggest that predictions of climate change responses should consider the complex interactions between nutrition and thermal stress resistance to allow better risk evaluation when assessing species’ vulnerability to multiple stressors.</w:t>
      </w:r>
    </w:p>
    <w:p w:rsidR="00887D6D" w:rsidRDefault="00887D6D" w:rsidP="0025754B">
      <w:pPr>
        <w:rPr>
          <w:i/>
        </w:rPr>
      </w:pPr>
    </w:p>
    <w:p w:rsidR="00887D6D" w:rsidRPr="00992B72" w:rsidRDefault="00887D6D" w:rsidP="00887D6D">
      <w:r w:rsidRPr="00992B72">
        <w:rPr>
          <w:b/>
          <w:noProof/>
        </w:rPr>
        <w:t>Xin Wei</w:t>
      </w:r>
      <w:r w:rsidRPr="00992B72">
        <w:rPr>
          <w:b/>
        </w:rPr>
        <w:t xml:space="preserve"> </w:t>
      </w:r>
      <w:r w:rsidRPr="00992B72">
        <w:rPr>
          <w:b/>
          <w:noProof/>
        </w:rPr>
        <w:t>Chia</w:t>
      </w:r>
      <w:r w:rsidRPr="00992B72">
        <w:t xml:space="preserve"> (</w:t>
      </w:r>
      <w:r w:rsidRPr="00992B72">
        <w:rPr>
          <w:noProof/>
        </w:rPr>
        <w:t>Nanyang Technological University (NTU)</w:t>
      </w:r>
      <w:r w:rsidRPr="00992B72">
        <w:t xml:space="preserve">, </w:t>
      </w:r>
      <w:r w:rsidRPr="00992B72">
        <w:rPr>
          <w:noProof/>
        </w:rPr>
        <w:t>Singapore</w:t>
      </w:r>
      <w:r w:rsidRPr="00992B72">
        <w:t>)</w:t>
      </w:r>
      <w:r>
        <w:br/>
      </w:r>
      <w:r w:rsidRPr="00992B72">
        <w:rPr>
          <w:i/>
          <w:noProof/>
        </w:rPr>
        <w:t>CRISPR/Cas9-Based Strategy for Targeted Gene Knock-In in Zebrafish</w:t>
      </w:r>
    </w:p>
    <w:p w:rsidR="00887D6D" w:rsidRPr="00887D6D" w:rsidRDefault="00887D6D" w:rsidP="00887D6D">
      <w:pPr>
        <w:rPr>
          <w:sz w:val="20"/>
          <w:szCs w:val="20"/>
        </w:rPr>
      </w:pPr>
      <w:r w:rsidRPr="00887D6D">
        <w:rPr>
          <w:noProof/>
          <w:sz w:val="20"/>
          <w:szCs w:val="20"/>
        </w:rPr>
        <w:t>The CRISPR/Cas9 system is a powerful system that can be used for genetic engineering across different model organisms, including zebrafish. Targeted gene disruptions in zebrafish have been readily achieved using the system by inducing double-stranded DNA breaks. While there have been reports on different CRISPR/Cas9-based approaches to generate exogenous DNA integration, they often lead to varying results. In this paper, we describe a successful strategy involving the use of single stranded oligodeoxynucleotides (ssODNs) and microhomology mediated end joining (MMEJ) repair mechanism to insert an exogenous attP landing site (40bp) into the rln3a gene. This expands the repertoire of available strategies for generating targeted gene knock-in in zebrafish. Furthermore, we found that the post-fertilisation timing of CRISPR/Cas9 microinjections into zebrafish embryos affected the rate of exogenous DNA insertions. However, our results also show that the MMEJ repair mechanism can cause imprecise variants due to inaccurate exogenous DNA integration into the targeted gene.</w:t>
      </w:r>
    </w:p>
    <w:p w:rsidR="00887D6D" w:rsidRPr="00887D6D" w:rsidRDefault="00887D6D" w:rsidP="0025754B">
      <w:pPr>
        <w:rPr>
          <w:i/>
        </w:rPr>
      </w:pPr>
    </w:p>
    <w:p w:rsidR="00081E8B" w:rsidRDefault="00C23D0D" w:rsidP="00C23D0D">
      <w:pPr>
        <w:pStyle w:val="Heading1"/>
        <w:jc w:val="center"/>
      </w:pPr>
      <w:bookmarkStart w:id="31" w:name="_Toc501711918"/>
      <w:r>
        <w:t>SESSION 6</w:t>
      </w:r>
      <w:bookmarkEnd w:id="31"/>
    </w:p>
    <w:p w:rsidR="00C23D0D" w:rsidRPr="008F0D2E" w:rsidRDefault="00C23D0D" w:rsidP="00DD7B70"/>
    <w:p w:rsidR="006564AB" w:rsidRPr="00D23BC9" w:rsidRDefault="00E549C4" w:rsidP="00C23D0D">
      <w:pPr>
        <w:pStyle w:val="Heading2"/>
        <w:rPr>
          <w:rStyle w:val="SubtleEmphasis"/>
          <w:i w:val="0"/>
          <w:iCs w:val="0"/>
          <w:color w:val="2E74B5" w:themeColor="accent1" w:themeShade="BF"/>
        </w:rPr>
      </w:pPr>
      <w:bookmarkStart w:id="32" w:name="_Toc501711919"/>
      <w:r w:rsidRPr="008F0D2E">
        <w:t xml:space="preserve">Session 6A (Monash </w:t>
      </w:r>
      <w:r w:rsidR="00D23BC9">
        <w:t xml:space="preserve">University Australia &amp; </w:t>
      </w:r>
      <w:r w:rsidR="006564AB" w:rsidRPr="008F0D2E">
        <w:t xml:space="preserve">Monash </w:t>
      </w:r>
      <w:r w:rsidR="00D23BC9">
        <w:t xml:space="preserve">University </w:t>
      </w:r>
      <w:r w:rsidR="006564AB" w:rsidRPr="008F0D2E">
        <w:t>South Africa)</w:t>
      </w:r>
      <w:bookmarkEnd w:id="32"/>
      <w:r w:rsidR="006564AB" w:rsidRPr="008F0D2E">
        <w:t xml:space="preserve"> </w:t>
      </w:r>
    </w:p>
    <w:p w:rsidR="00D23BC9" w:rsidRPr="00D23BC9" w:rsidRDefault="00D23BC9" w:rsidP="00DD7B70">
      <w:pPr>
        <w:rPr>
          <w:rStyle w:val="SubtleEmphasis"/>
        </w:rPr>
      </w:pPr>
      <w:r>
        <w:rPr>
          <w:rStyle w:val="SubtleEmphasis"/>
        </w:rPr>
        <w:t xml:space="preserve">Theme: </w:t>
      </w:r>
      <w:r w:rsidR="00887D6D" w:rsidRPr="00887D6D">
        <w:rPr>
          <w:rStyle w:val="SubtleEmphasis"/>
        </w:rPr>
        <w:t>Food, Drugs &amp; Chemicals</w:t>
      </w:r>
    </w:p>
    <w:p w:rsidR="00887D6D" w:rsidRPr="00992B72" w:rsidRDefault="00887D6D" w:rsidP="00887D6D">
      <w:r w:rsidRPr="00992B72">
        <w:rPr>
          <w:b/>
          <w:noProof/>
        </w:rPr>
        <w:lastRenderedPageBreak/>
        <w:t>James</w:t>
      </w:r>
      <w:r w:rsidRPr="00992B72">
        <w:rPr>
          <w:b/>
        </w:rPr>
        <w:t xml:space="preserve"> </w:t>
      </w:r>
      <w:r w:rsidRPr="00992B72">
        <w:rPr>
          <w:b/>
          <w:noProof/>
        </w:rPr>
        <w:t>Holland</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Halal Certification and Section 116 of the Australian Constitution</w:t>
      </w:r>
    </w:p>
    <w:p w:rsidR="00887D6D" w:rsidRPr="00887D6D" w:rsidRDefault="00887D6D" w:rsidP="00887D6D">
      <w:pPr>
        <w:rPr>
          <w:noProof/>
          <w:sz w:val="20"/>
          <w:szCs w:val="20"/>
        </w:rPr>
      </w:pPr>
      <w:r w:rsidRPr="00887D6D">
        <w:rPr>
          <w:noProof/>
          <w:sz w:val="20"/>
          <w:szCs w:val="20"/>
        </w:rPr>
        <w:t>My research questions whether it would be constitutional for the federal government to ban halal certification in Australia. This case study is inspired by the policy platform of One Nation in the 2016 federal election.</w:t>
      </w:r>
    </w:p>
    <w:p w:rsidR="00887D6D" w:rsidRPr="00887D6D" w:rsidRDefault="00887D6D" w:rsidP="00887D6D">
      <w:pPr>
        <w:rPr>
          <w:noProof/>
          <w:sz w:val="20"/>
          <w:szCs w:val="20"/>
        </w:rPr>
      </w:pPr>
      <w:r w:rsidRPr="00887D6D">
        <w:rPr>
          <w:noProof/>
          <w:sz w:val="20"/>
          <w:szCs w:val="20"/>
        </w:rPr>
        <w:t>My primary question is whether a ban on halal certification would amount to a prohibition on the free exercise of religion contrary to Section 116 of the Australian Constitution. The current Australian case law ameliorating Section 116 is considered, before I consider the validity of the ban under the current High Court approach outlined in Kruger v Commonwealth. I criticise Gaudron J’s assertion in Kruger that the word ‘for’ in Section 116 means that the purpose of the impugned statute must be the ‘sole criterion’ to decide invalidity. Then Gaudron J’s judgement is contrasted to Toohey J’s stance in Kruger.</w:t>
      </w:r>
    </w:p>
    <w:p w:rsidR="00887D6D" w:rsidRPr="00887D6D" w:rsidRDefault="00887D6D" w:rsidP="00887D6D">
      <w:pPr>
        <w:rPr>
          <w:noProof/>
          <w:sz w:val="20"/>
          <w:szCs w:val="20"/>
        </w:rPr>
      </w:pPr>
      <w:r w:rsidRPr="00887D6D">
        <w:rPr>
          <w:noProof/>
          <w:sz w:val="20"/>
          <w:szCs w:val="20"/>
        </w:rPr>
        <w:t>The ‘American approach’ to religious freedom is considered before I contrast the prospective outcomes of a halal certification ban under the High Court’s current approach to Section 116 of the Australian Constitution with the US Supreme Court’s approach to the First Amendment. The two provisions are similar but the courts have taken vastly different approaches.</w:t>
      </w:r>
    </w:p>
    <w:p w:rsidR="00887D6D" w:rsidRPr="00887D6D" w:rsidRDefault="00887D6D" w:rsidP="00887D6D">
      <w:pPr>
        <w:rPr>
          <w:sz w:val="20"/>
          <w:szCs w:val="20"/>
        </w:rPr>
      </w:pPr>
      <w:r w:rsidRPr="00887D6D">
        <w:rPr>
          <w:noProof/>
          <w:sz w:val="20"/>
          <w:szCs w:val="20"/>
        </w:rPr>
        <w:t>Through references to the halal ban, I argue that the current High Court construction of Section 116 is imprudent. Finally, I conclude that in order to give Section 116 expression, Kruger must be reversed and Section 116 must be construed, not through text-based legalism, but with civil liberties in mind.</w:t>
      </w:r>
    </w:p>
    <w:p w:rsidR="00C23D0D" w:rsidRDefault="00C23D0D" w:rsidP="00DD7B70"/>
    <w:p w:rsidR="00887D6D" w:rsidRPr="00992B72" w:rsidRDefault="00887D6D" w:rsidP="00887D6D">
      <w:r w:rsidRPr="00992B72">
        <w:rPr>
          <w:b/>
          <w:noProof/>
        </w:rPr>
        <w:t>Michelle</w:t>
      </w:r>
      <w:r w:rsidRPr="00992B72">
        <w:rPr>
          <w:b/>
        </w:rPr>
        <w:t xml:space="preserve"> </w:t>
      </w:r>
      <w:r w:rsidRPr="00992B72">
        <w:rPr>
          <w:b/>
          <w:noProof/>
        </w:rPr>
        <w:t>James</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Young People’s Views and Experiences During Online Drug and Alcohol Counselling: Enhancing treatment access and outcomes</w:t>
      </w:r>
    </w:p>
    <w:p w:rsidR="00887D6D" w:rsidRPr="00887D6D" w:rsidRDefault="00887D6D" w:rsidP="00887D6D">
      <w:pPr>
        <w:rPr>
          <w:sz w:val="20"/>
          <w:szCs w:val="20"/>
        </w:rPr>
      </w:pPr>
      <w:r w:rsidRPr="00887D6D">
        <w:rPr>
          <w:noProof/>
          <w:sz w:val="20"/>
          <w:szCs w:val="20"/>
        </w:rPr>
        <w:t>Misuse of alcohol and other drugs (AOD) is a prevalent issue among young people in Australia; however, people aged 16–24 are the least likely of any age group to seek help for a substance use disorder. Interestingly, the use of Turning Points CounsellingOnline service by young people increased by nearly 6% between 2007/8 and 2013/14, despite the Australian Institute of Health and Welfare reporting that AOD treatment is declining among people aged 20–29 and remaining relatively stable among adolescents. This study was used to investigate Turning Points CounsellingOnline service, a web-based instant-chat program intended to provide information, support and referral to people with AOD-related concerns. It was based on young people aged 16–22 who accessed the service in 2015. Demographic information of all clients was quantitatively analysed to identify the most common characteristics of service users, and qualitative analysis was conducted on a subset of 30 transcripts in which alcohol (n=10), opioids (n=10), and amphetamines (n=10) were identified as the primary drug of concern. Research questions included: How do clients understand their AOD use? How do counsellors explain AOD use to their clients? How do the explanations of the counsellors differ from the understanding of the clients? What are the client’s needs and how are they addressed during the session? This study presents an opportunity gain a better understanding of client needs and experiences during online counselling, with the intention of improving overall service provision and reducing AOD-related harm in young people.</w:t>
      </w:r>
    </w:p>
    <w:p w:rsidR="00887D6D" w:rsidRDefault="00887D6D" w:rsidP="00DD7B70"/>
    <w:p w:rsidR="00887D6D" w:rsidRPr="00992B72" w:rsidRDefault="00887D6D" w:rsidP="00887D6D">
      <w:r w:rsidRPr="00992B72">
        <w:rPr>
          <w:b/>
          <w:noProof/>
        </w:rPr>
        <w:t>Eliza</w:t>
      </w:r>
      <w:r w:rsidRPr="00992B72">
        <w:rPr>
          <w:b/>
        </w:rPr>
        <w:t xml:space="preserve"> </w:t>
      </w:r>
      <w:r w:rsidRPr="00992B72">
        <w:rPr>
          <w:b/>
          <w:noProof/>
        </w:rPr>
        <w:t>Li</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Omega-3 Supplementation: The claims, the scientific facts and why discrepancies exist</w:t>
      </w:r>
    </w:p>
    <w:p w:rsidR="00887D6D" w:rsidRPr="00887D6D" w:rsidRDefault="00887D6D" w:rsidP="00887D6D">
      <w:pPr>
        <w:rPr>
          <w:noProof/>
          <w:sz w:val="20"/>
          <w:szCs w:val="20"/>
        </w:rPr>
      </w:pPr>
      <w:r w:rsidRPr="00887D6D">
        <w:rPr>
          <w:noProof/>
          <w:sz w:val="20"/>
          <w:szCs w:val="20"/>
        </w:rPr>
        <w:t>Intrigued by the promotion of omega-3 supplements, I reviewed the evidence supporting claims that these products aid early childhood development. For example, Blackmores assert: ‘fish oil not only safe, but great for smart bubs’.</w:t>
      </w:r>
    </w:p>
    <w:p w:rsidR="00887D6D" w:rsidRPr="00887D6D" w:rsidRDefault="00887D6D" w:rsidP="00887D6D">
      <w:pPr>
        <w:rPr>
          <w:noProof/>
          <w:sz w:val="20"/>
          <w:szCs w:val="20"/>
        </w:rPr>
      </w:pPr>
      <w:r w:rsidRPr="00887D6D">
        <w:rPr>
          <w:noProof/>
          <w:sz w:val="20"/>
          <w:szCs w:val="20"/>
        </w:rPr>
        <w:t xml:space="preserve">Six separate global meta-analyses from 2012–2016 were evaluated for the accuracy of study citations made by omega-3 supplement sponsors. Health claims used to market omega-3 supplements were inconsistent with </w:t>
      </w:r>
      <w:r w:rsidRPr="00887D6D">
        <w:rPr>
          <w:noProof/>
          <w:sz w:val="20"/>
          <w:szCs w:val="20"/>
        </w:rPr>
        <w:lastRenderedPageBreak/>
        <w:t>recent conclusions that there is no effect of prenatal and childhood omega-3 supplementation on early cognitive and visual development. Advertised health claims were instead based on single studies, which were outdated or had methodological limitations.</w:t>
      </w:r>
    </w:p>
    <w:p w:rsidR="00887D6D" w:rsidRPr="00887D6D" w:rsidRDefault="00887D6D" w:rsidP="00887D6D">
      <w:pPr>
        <w:rPr>
          <w:noProof/>
          <w:sz w:val="20"/>
          <w:szCs w:val="20"/>
        </w:rPr>
      </w:pPr>
      <w:r w:rsidRPr="00887D6D">
        <w:rPr>
          <w:noProof/>
          <w:sz w:val="20"/>
          <w:szCs w:val="20"/>
        </w:rPr>
        <w:t>Omega-3 gummies for children are promoted as deliciously flavoured and a great way for growing bodies (and fussy eaters) to get the nutrients they need. These products might say ‘contains sugars’ or they might not. Rarely, some listed an amount of sugar (e.g. 3.0g) and other ingredients such as food acids.</w:t>
      </w:r>
    </w:p>
    <w:p w:rsidR="00887D6D" w:rsidRPr="00887D6D" w:rsidRDefault="00887D6D" w:rsidP="00887D6D">
      <w:pPr>
        <w:rPr>
          <w:noProof/>
          <w:sz w:val="20"/>
          <w:szCs w:val="20"/>
        </w:rPr>
      </w:pPr>
      <w:r w:rsidRPr="00887D6D">
        <w:rPr>
          <w:noProof/>
          <w:sz w:val="20"/>
          <w:szCs w:val="20"/>
        </w:rPr>
        <w:t>Dental caries is a significant Australian public health problem. Sugars provide food for the bacteria that dissolve tooth enamel, and as sugar consumption increases, so do cavities. In addition, food acid causes dental erosion. Given their high sugar and food acid content, gummies appear to be unhealthy and unnecessary products.</w:t>
      </w:r>
    </w:p>
    <w:p w:rsidR="00887D6D" w:rsidRPr="00887D6D" w:rsidRDefault="00887D6D" w:rsidP="00887D6D">
      <w:pPr>
        <w:rPr>
          <w:sz w:val="20"/>
          <w:szCs w:val="20"/>
        </w:rPr>
      </w:pPr>
      <w:r w:rsidRPr="00887D6D">
        <w:rPr>
          <w:noProof/>
          <w:sz w:val="20"/>
          <w:szCs w:val="20"/>
        </w:rPr>
        <w:t>Two regulatory issues have been uncovered by this review. First, exuberant and outdated claims reflect flawed advertising controls, currently under review. Second, the variable disclosure of sugar and food acid in gummies needs to be addressed by the Therapeutic Goods Administration and Food Standards Australia New Zealand.</w:t>
      </w:r>
    </w:p>
    <w:p w:rsidR="00887D6D" w:rsidRPr="00887D6D" w:rsidRDefault="00887D6D" w:rsidP="00DD7B70">
      <w:pPr>
        <w:rPr>
          <w:sz w:val="20"/>
          <w:szCs w:val="20"/>
        </w:rPr>
      </w:pPr>
    </w:p>
    <w:p w:rsidR="00887D6D" w:rsidRPr="00992B72" w:rsidRDefault="00887D6D" w:rsidP="00887D6D">
      <w:r w:rsidRPr="00992B72">
        <w:rPr>
          <w:b/>
          <w:noProof/>
        </w:rPr>
        <w:t>Alutta</w:t>
      </w:r>
      <w:r w:rsidRPr="00992B72">
        <w:rPr>
          <w:b/>
        </w:rPr>
        <w:t xml:space="preserve"> </w:t>
      </w:r>
      <w:r w:rsidRPr="00992B72">
        <w:rPr>
          <w:b/>
          <w:noProof/>
        </w:rPr>
        <w:t>Zibonti</w:t>
      </w:r>
      <w:r w:rsidRPr="00992B72">
        <w:t xml:space="preserve"> (</w:t>
      </w:r>
      <w:r w:rsidRPr="00992B72">
        <w:rPr>
          <w:noProof/>
        </w:rPr>
        <w:t>Monash University</w:t>
      </w:r>
      <w:r w:rsidRPr="00992B72">
        <w:t xml:space="preserve">, </w:t>
      </w:r>
      <w:r w:rsidRPr="00992B72">
        <w:rPr>
          <w:noProof/>
        </w:rPr>
        <w:t>South Africa</w:t>
      </w:r>
      <w:r w:rsidR="00A407B0">
        <w:t>)</w:t>
      </w:r>
      <w:r w:rsidR="00A407B0">
        <w:br/>
      </w:r>
      <w:r w:rsidRPr="00992B72">
        <w:rPr>
          <w:i/>
          <w:noProof/>
        </w:rPr>
        <w:t>A Contemporary Panacea? The anti-PD1-PD-L1 mAb in communicable and non-communicable disease</w:t>
      </w:r>
    </w:p>
    <w:p w:rsidR="00887D6D" w:rsidRPr="00B64179" w:rsidRDefault="00887D6D" w:rsidP="00887D6D">
      <w:pPr>
        <w:rPr>
          <w:noProof/>
          <w:sz w:val="20"/>
          <w:szCs w:val="20"/>
        </w:rPr>
      </w:pPr>
      <w:r w:rsidRPr="00B64179">
        <w:rPr>
          <w:noProof/>
          <w:sz w:val="20"/>
          <w:szCs w:val="20"/>
        </w:rPr>
        <w:t>Objectives</w:t>
      </w:r>
    </w:p>
    <w:p w:rsidR="00887D6D" w:rsidRPr="00B64179" w:rsidRDefault="00887D6D" w:rsidP="00887D6D">
      <w:pPr>
        <w:rPr>
          <w:noProof/>
          <w:sz w:val="20"/>
          <w:szCs w:val="20"/>
        </w:rPr>
      </w:pPr>
      <w:r w:rsidRPr="00B64179">
        <w:rPr>
          <w:noProof/>
          <w:sz w:val="20"/>
          <w:szCs w:val="20"/>
        </w:rPr>
        <w:t>The programmed cell death protein 1 and programmed cell death ligand 1 (PD1/PD-L1) is an immune pathway that regulates an organism’s immune reactions to mutated cells, activates immunological memory and restricts soft tissue pathology. Deviant immune pathway functioning would indicate poor prognosis of chronic diseases, such as cancers, as well as that of communicable bacterial and viral infections, comprising tuberculosis, malaria, hepatitis B and HIV/AIDS, among others. Host-directed therapy (HDT) through the administration of monoclonal antibodies targeting the PD1/PD-L1 blockade has transformed the therapeutic consequences of chronic disease treatment (e.g. cancer). The current study aims to determine if anti-PD1/PD-L1 may be the panacea in contemporary medicine by assessing if its efficacy may be transferred to the treatment of infectious diseases as well.</w:t>
      </w:r>
    </w:p>
    <w:p w:rsidR="00887D6D" w:rsidRPr="00B64179" w:rsidRDefault="00887D6D" w:rsidP="00887D6D">
      <w:pPr>
        <w:rPr>
          <w:noProof/>
          <w:sz w:val="20"/>
          <w:szCs w:val="20"/>
        </w:rPr>
      </w:pPr>
      <w:r w:rsidRPr="00B64179">
        <w:rPr>
          <w:noProof/>
          <w:sz w:val="20"/>
          <w:szCs w:val="20"/>
        </w:rPr>
        <w:t>Methods</w:t>
      </w:r>
    </w:p>
    <w:p w:rsidR="00887D6D" w:rsidRPr="00B64179" w:rsidRDefault="00887D6D" w:rsidP="00887D6D">
      <w:pPr>
        <w:rPr>
          <w:noProof/>
          <w:sz w:val="20"/>
          <w:szCs w:val="20"/>
        </w:rPr>
      </w:pPr>
      <w:r w:rsidRPr="00B64179">
        <w:rPr>
          <w:noProof/>
          <w:sz w:val="20"/>
          <w:szCs w:val="20"/>
        </w:rPr>
        <w:t>An electronic literature search was conducted from 1st June 2017 to 1st August 2017, drawing on studies from the Monash University online database using a variety of search engines. Search results were filtered by topic relevance to include peer-reviewed journal articles published in English from 2015 to date, studies which do not meet the inclusion criteria would be excluded.</w:t>
      </w:r>
    </w:p>
    <w:p w:rsidR="00887D6D" w:rsidRPr="00B64179" w:rsidRDefault="00887D6D" w:rsidP="00887D6D">
      <w:pPr>
        <w:rPr>
          <w:noProof/>
          <w:sz w:val="20"/>
          <w:szCs w:val="20"/>
        </w:rPr>
      </w:pPr>
      <w:r w:rsidRPr="00B64179">
        <w:rPr>
          <w:noProof/>
          <w:sz w:val="20"/>
          <w:szCs w:val="20"/>
        </w:rPr>
        <w:t>Results</w:t>
      </w:r>
    </w:p>
    <w:p w:rsidR="00887D6D" w:rsidRPr="00B64179" w:rsidRDefault="00887D6D" w:rsidP="00887D6D">
      <w:pPr>
        <w:rPr>
          <w:noProof/>
          <w:sz w:val="20"/>
          <w:szCs w:val="20"/>
        </w:rPr>
      </w:pPr>
      <w:r w:rsidRPr="00B64179">
        <w:rPr>
          <w:noProof/>
          <w:sz w:val="20"/>
          <w:szCs w:val="20"/>
        </w:rPr>
        <w:t>The administration of monoclonal antibodies targeting the PD1 and its ligand the PD-L1 in both chronic diseases and communicable diseases will be appraised. Probable therapeutic consequences and adverse implications based on clinical data will be discussed.</w:t>
      </w:r>
    </w:p>
    <w:p w:rsidR="00887D6D" w:rsidRPr="00B64179" w:rsidRDefault="00887D6D" w:rsidP="00887D6D">
      <w:pPr>
        <w:rPr>
          <w:noProof/>
          <w:sz w:val="20"/>
          <w:szCs w:val="20"/>
        </w:rPr>
      </w:pPr>
      <w:r w:rsidRPr="00B64179">
        <w:rPr>
          <w:noProof/>
          <w:sz w:val="20"/>
          <w:szCs w:val="20"/>
        </w:rPr>
        <w:t>Conclusions</w:t>
      </w:r>
    </w:p>
    <w:p w:rsidR="00887D6D" w:rsidRPr="00B64179" w:rsidRDefault="00887D6D" w:rsidP="00887D6D">
      <w:pPr>
        <w:rPr>
          <w:sz w:val="20"/>
          <w:szCs w:val="20"/>
        </w:rPr>
      </w:pPr>
      <w:r w:rsidRPr="00B64179">
        <w:rPr>
          <w:noProof/>
          <w:sz w:val="20"/>
          <w:szCs w:val="20"/>
        </w:rPr>
        <w:t>The anti-PD1/ PD-L1 immunotherapy may be the panacea to treating both chronic and communicable diseases including cancer, tuberculosis and HIV/AIDS. The findings of the current study may inform researchers to conduct randomised controlled trials to assess the efficacy and toxicity of such treatment. The probable adjunctive therapy may ameliorate the hyper-epidemic of chronic and infectious diseases disproportionally borne by low to middle-income countries.</w:t>
      </w:r>
    </w:p>
    <w:p w:rsidR="00C23D0D" w:rsidRPr="008F0D2E" w:rsidRDefault="00C23D0D" w:rsidP="00DD7B70"/>
    <w:p w:rsidR="006564AB" w:rsidRPr="008F0D2E" w:rsidRDefault="006564AB" w:rsidP="00C23D0D">
      <w:pPr>
        <w:pStyle w:val="Heading2"/>
      </w:pPr>
      <w:bookmarkStart w:id="33" w:name="_Toc501711920"/>
      <w:r w:rsidRPr="008F0D2E">
        <w:lastRenderedPageBreak/>
        <w:t>Session 6B (Monash</w:t>
      </w:r>
      <w:r w:rsidR="00B72637">
        <w:t xml:space="preserve"> University</w:t>
      </w:r>
      <w:r w:rsidRPr="008F0D2E">
        <w:t xml:space="preserve"> Australia &amp; Warwick</w:t>
      </w:r>
      <w:r w:rsidR="00B72637">
        <w:t xml:space="preserve"> University</w:t>
      </w:r>
      <w:r w:rsidR="00D23BC9">
        <w:t xml:space="preserve"> UK</w:t>
      </w:r>
      <w:r w:rsidRPr="008F0D2E">
        <w:t>)</w:t>
      </w:r>
      <w:bookmarkEnd w:id="33"/>
      <w:r w:rsidRPr="008F0D2E">
        <w:t xml:space="preserve"> </w:t>
      </w:r>
    </w:p>
    <w:p w:rsidR="006564AB" w:rsidRPr="00C23D0D" w:rsidRDefault="00B72637" w:rsidP="00DD7B70">
      <w:pPr>
        <w:rPr>
          <w:rStyle w:val="SubtleEmphasis"/>
        </w:rPr>
      </w:pPr>
      <w:r w:rsidRPr="00C23D0D">
        <w:rPr>
          <w:rStyle w:val="SubtleEmphasis"/>
        </w:rPr>
        <w:t xml:space="preserve">Theme: </w:t>
      </w:r>
      <w:r w:rsidR="00887D6D" w:rsidRPr="00887D6D">
        <w:rPr>
          <w:rStyle w:val="SubtleEmphasis"/>
        </w:rPr>
        <w:t>Beliefs &amp; Ideologies</w:t>
      </w:r>
    </w:p>
    <w:p w:rsidR="00C23D0D" w:rsidRDefault="00C23D0D" w:rsidP="00DD7B70">
      <w:pPr>
        <w:rPr>
          <w:b/>
        </w:rPr>
      </w:pPr>
    </w:p>
    <w:p w:rsidR="00887D6D" w:rsidRPr="00992B72" w:rsidRDefault="00887D6D" w:rsidP="00887D6D">
      <w:r w:rsidRPr="00992B72">
        <w:rPr>
          <w:b/>
          <w:noProof/>
        </w:rPr>
        <w:t>Eleanor</w:t>
      </w:r>
      <w:r w:rsidRPr="00992B72">
        <w:rPr>
          <w:b/>
        </w:rPr>
        <w:t xml:space="preserve"> </w:t>
      </w:r>
      <w:r w:rsidRPr="00992B72">
        <w:rPr>
          <w:b/>
          <w:noProof/>
        </w:rPr>
        <w:t>Kerfoot</w:t>
      </w:r>
      <w:r w:rsidRPr="00992B72">
        <w:t xml:space="preserve"> (</w:t>
      </w:r>
      <w:r w:rsidRPr="00992B72">
        <w:rPr>
          <w:noProof/>
        </w:rPr>
        <w:t>University of Warwick</w:t>
      </w:r>
      <w:r w:rsidRPr="00992B72">
        <w:t xml:space="preserve">, </w:t>
      </w:r>
      <w:r w:rsidRPr="00992B72">
        <w:rPr>
          <w:noProof/>
        </w:rPr>
        <w:t>UK</w:t>
      </w:r>
      <w:r w:rsidR="00A407B0">
        <w:t>)</w:t>
      </w:r>
      <w:r w:rsidR="00A407B0">
        <w:rPr>
          <w:i/>
          <w:noProof/>
        </w:rPr>
        <w:br/>
      </w:r>
      <w:r w:rsidRPr="00992B72">
        <w:rPr>
          <w:i/>
          <w:noProof/>
        </w:rPr>
        <w:t>Death and Exhumation: A preliminary investigation of historical narratives of mortality in eighteenth-century Paris</w:t>
      </w:r>
    </w:p>
    <w:p w:rsidR="00887D6D" w:rsidRPr="00887D6D" w:rsidRDefault="00887D6D" w:rsidP="00887D6D">
      <w:pPr>
        <w:rPr>
          <w:noProof/>
          <w:sz w:val="20"/>
          <w:szCs w:val="20"/>
        </w:rPr>
      </w:pPr>
      <w:r w:rsidRPr="00887D6D">
        <w:rPr>
          <w:noProof/>
          <w:sz w:val="20"/>
          <w:szCs w:val="20"/>
        </w:rPr>
        <w:t>In 1786 the French government exhumed an estimated two million corpses from the Holy Innocents’ Cemetery in Paris. Some of the bodies were transported to underground catacombs; others were reburied in large garden cemeteries within the city.</w:t>
      </w:r>
    </w:p>
    <w:p w:rsidR="00887D6D" w:rsidRPr="00887D6D" w:rsidRDefault="00887D6D" w:rsidP="00887D6D">
      <w:pPr>
        <w:rPr>
          <w:noProof/>
          <w:sz w:val="20"/>
          <w:szCs w:val="20"/>
        </w:rPr>
      </w:pPr>
      <w:r w:rsidRPr="00887D6D">
        <w:rPr>
          <w:noProof/>
          <w:sz w:val="20"/>
          <w:szCs w:val="20"/>
        </w:rPr>
        <w:t>Recent research has revealed a profound change in attitudes towards death in eighteenth-century France. Richard Etlin has described changes in cemetery architecture as reflective and constructive of attitudes to mortality. Phillipe Airès has traced the emergence of a pre-Romantic conception of death after 1500. Consensus has emerged that the closing of Innocents’ cemetery, previously attributed to sanitation concerns caused by overcrowding, reflects this widespread shift in public attitude.</w:t>
      </w:r>
    </w:p>
    <w:p w:rsidR="00887D6D" w:rsidRPr="00887D6D" w:rsidRDefault="00887D6D" w:rsidP="00887D6D">
      <w:pPr>
        <w:rPr>
          <w:sz w:val="20"/>
          <w:szCs w:val="20"/>
        </w:rPr>
      </w:pPr>
      <w:r w:rsidRPr="00887D6D">
        <w:rPr>
          <w:noProof/>
          <w:sz w:val="20"/>
          <w:szCs w:val="20"/>
        </w:rPr>
        <w:t>This historical narrative deals with theological and philosophical reflections on mortality in post seventeenth-century Europe. It does not explain interactions between the living gravediggers at Innocents’ and the corpses they exhumed. Conclusions drawn from research into philosophies on mortality have been applied in blanket form to account for interactions between living and dead. This study will adopt a different analytical framework, exploring the behaviour of individuals towards the deceased, to build upon and complement previous studies of attitudes to mortality. The methods of transportation and exhumation of corpses at Innocents’, and their treatment and reburial in cemeteries and catacombs, will be analysed using government records and secondary literature. This research intends to test the contemporary assumption that physical interactions between living and dead reflected the sentiment of philosophies of mortality, working towards a revised analytical framework for historical studies of mortality.</w:t>
      </w:r>
    </w:p>
    <w:p w:rsidR="00C23D0D" w:rsidRDefault="00C23D0D" w:rsidP="00DD7B70"/>
    <w:p w:rsidR="00887D6D" w:rsidRPr="00992B72" w:rsidRDefault="00887D6D" w:rsidP="00887D6D">
      <w:r w:rsidRPr="00992B72">
        <w:rPr>
          <w:b/>
          <w:noProof/>
        </w:rPr>
        <w:t>Sara</w:t>
      </w:r>
      <w:r w:rsidRPr="00992B72">
        <w:rPr>
          <w:b/>
        </w:rPr>
        <w:t xml:space="preserve"> </w:t>
      </w:r>
      <w:r w:rsidRPr="00992B72">
        <w:rPr>
          <w:b/>
          <w:noProof/>
        </w:rPr>
        <w:t>Laabid</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We Invite Psychology to the Discussion: An investigation into the personal foundations of attitudes towards immigrants</w:t>
      </w:r>
    </w:p>
    <w:p w:rsidR="00887D6D" w:rsidRPr="00887D6D" w:rsidRDefault="00887D6D" w:rsidP="00887D6D">
      <w:pPr>
        <w:rPr>
          <w:noProof/>
          <w:sz w:val="20"/>
          <w:szCs w:val="20"/>
        </w:rPr>
      </w:pPr>
      <w:r w:rsidRPr="00887D6D">
        <w:rPr>
          <w:noProof/>
          <w:sz w:val="20"/>
          <w:szCs w:val="20"/>
        </w:rPr>
        <w:t>The increasing opposition to immigrants is worrisome and confronts institutions with the challenge to enhance social cohesion. This paper focuses on attitudes towards immigrants (ATI) as they are important drivers of electoral outcomes and legislation (Citrin, 2007). In the literature, the debate around the factors underlying ATI is dominated by economic and cultural threat explanations. This literature has been criticised for its stagnation and its overreliance on the threat explanation (Ceobanu and Escandell, 2010).</w:t>
      </w:r>
    </w:p>
    <w:p w:rsidR="00887D6D" w:rsidRPr="00887D6D" w:rsidRDefault="00887D6D" w:rsidP="00887D6D">
      <w:pPr>
        <w:rPr>
          <w:noProof/>
          <w:sz w:val="20"/>
          <w:szCs w:val="20"/>
        </w:rPr>
      </w:pPr>
      <w:r w:rsidRPr="00887D6D">
        <w:rPr>
          <w:noProof/>
          <w:sz w:val="20"/>
          <w:szCs w:val="20"/>
        </w:rPr>
        <w:t>Exchanges between psychology and economics have been shown to lead to more accurate measures and better direction for policy intervention (Borghans</w:t>
      </w:r>
      <w:r w:rsidRPr="00887D6D">
        <w:rPr>
          <w:i/>
          <w:noProof/>
          <w:sz w:val="20"/>
          <w:szCs w:val="20"/>
        </w:rPr>
        <w:t xml:space="preserve"> et al.</w:t>
      </w:r>
      <w:r w:rsidRPr="00887D6D">
        <w:rPr>
          <w:noProof/>
          <w:sz w:val="20"/>
          <w:szCs w:val="20"/>
        </w:rPr>
        <w:t>, 2008), therefore the present research uses methods and insights from personality psychology to develop a better understanding of the forces underlying ATI. Building on a burgeoning literature that documents broad-ranging effects of personality, I incorporate personality, as measured by the Big Five Personality Traits model, into the analysis of ATI. This paper seeks to demonstrate the robustness of the explanatory power of personality in various ways. Firstly, it shows that the omission of personality traits yields biased estimates of common predictors of ATI such as education and income. Secondly, this study gets closer to causality by making the first steps towards addressing the endogenous nature of personality.</w:t>
      </w:r>
    </w:p>
    <w:p w:rsidR="00887D6D" w:rsidRPr="00887D6D" w:rsidRDefault="00887D6D" w:rsidP="00887D6D">
      <w:pPr>
        <w:rPr>
          <w:noProof/>
          <w:sz w:val="20"/>
          <w:szCs w:val="20"/>
        </w:rPr>
      </w:pPr>
      <w:r w:rsidRPr="00887D6D">
        <w:rPr>
          <w:noProof/>
          <w:sz w:val="20"/>
          <w:szCs w:val="20"/>
        </w:rPr>
        <w:t xml:space="preserve">My results suggest that ATI are a product of both predisposing and situational factors. This in itself is an important finding that advances the way we think of ATI conceptually. Furthermore, the IV estimates are substantial, suggesting that personality plays a more important role than once thought. Although my </w:t>
      </w:r>
      <w:r w:rsidRPr="00887D6D">
        <w:rPr>
          <w:noProof/>
          <w:sz w:val="20"/>
          <w:szCs w:val="20"/>
        </w:rPr>
        <w:lastRenderedPageBreak/>
        <w:t>instruments suffer from several shortcomings, the magnitude of my results emphasises the intrinsically subjective nature of ATI. I suggest instruments and natural experiments that better satisfy the exogeneity condition. I believe that the causality claim merits future attention and could revolutionise policy interventions aimed at enhancing social cohesion.</w:t>
      </w:r>
    </w:p>
    <w:p w:rsidR="00887D6D" w:rsidRDefault="00887D6D" w:rsidP="00887D6D">
      <w:pPr>
        <w:rPr>
          <w:noProof/>
        </w:rPr>
      </w:pPr>
    </w:p>
    <w:p w:rsidR="00887D6D" w:rsidRPr="00992B72" w:rsidRDefault="00887D6D" w:rsidP="00887D6D">
      <w:r w:rsidRPr="00992B72">
        <w:rPr>
          <w:b/>
          <w:noProof/>
        </w:rPr>
        <w:t>Jelena</w:t>
      </w:r>
      <w:r w:rsidRPr="00992B72">
        <w:rPr>
          <w:b/>
        </w:rPr>
        <w:t xml:space="preserve"> </w:t>
      </w:r>
      <w:r w:rsidRPr="00992B72">
        <w:rPr>
          <w:b/>
          <w:noProof/>
        </w:rPr>
        <w:t>Jovetic</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One Size Does Not Fit All: Comparing cultural perceptions regarding the use of contraceptives</w:t>
      </w:r>
    </w:p>
    <w:p w:rsidR="00887D6D" w:rsidRPr="00887D6D" w:rsidRDefault="00887D6D" w:rsidP="00887D6D">
      <w:pPr>
        <w:rPr>
          <w:noProof/>
          <w:sz w:val="20"/>
          <w:szCs w:val="20"/>
        </w:rPr>
      </w:pPr>
      <w:r w:rsidRPr="00887D6D">
        <w:rPr>
          <w:noProof/>
          <w:sz w:val="20"/>
          <w:szCs w:val="20"/>
        </w:rPr>
        <w:t>There is a deficiency in the literature regarding Serbian cultural perceptions towards contraception. Unofficial estimates state that between 150,000 and 200,000 abortions are performed in Serbia annually (Pekusic, 2012). In a country with just over 7 million people, Serbia has the highest abortion rate in Europe.</w:t>
      </w:r>
    </w:p>
    <w:p w:rsidR="00887D6D" w:rsidRPr="00887D6D" w:rsidRDefault="00887D6D" w:rsidP="00887D6D">
      <w:pPr>
        <w:rPr>
          <w:noProof/>
          <w:sz w:val="20"/>
          <w:szCs w:val="20"/>
        </w:rPr>
      </w:pPr>
      <w:r w:rsidRPr="00887D6D">
        <w:rPr>
          <w:noProof/>
          <w:sz w:val="20"/>
          <w:szCs w:val="20"/>
        </w:rPr>
        <w:t>By region, Australia has the third largest population of Serbians (IOM, 2008). In Australia, it is estimated that between a third and a quarter of all women will have an abortion (ABC, 2017). This raises the question of why, with a standardised sexuality course across all government high schools in Australia (Victoria State Government, 2017) and access to a wide variety of contraceptives, are women opting in such high numbers for this form of contraception?</w:t>
      </w:r>
    </w:p>
    <w:p w:rsidR="00887D6D" w:rsidRPr="00887D6D" w:rsidRDefault="00887D6D" w:rsidP="00887D6D">
      <w:pPr>
        <w:rPr>
          <w:noProof/>
          <w:sz w:val="20"/>
          <w:szCs w:val="20"/>
        </w:rPr>
      </w:pPr>
      <w:r w:rsidRPr="00887D6D">
        <w:rPr>
          <w:noProof/>
          <w:sz w:val="20"/>
          <w:szCs w:val="20"/>
        </w:rPr>
        <w:t>I aim to investigate Serbian women’s attitudes towards contraception by conducting a review of the existing literature and a survey of Serbian women living in Melbourne. The outcome will be a research paper considering cultural perceptions regarding contraception, which will be presented in a Monash University subject titled Fertility Regulation.</w:t>
      </w:r>
    </w:p>
    <w:p w:rsidR="00887D6D" w:rsidRPr="00887D6D" w:rsidRDefault="00887D6D" w:rsidP="00887D6D">
      <w:pPr>
        <w:rPr>
          <w:sz w:val="20"/>
          <w:szCs w:val="20"/>
        </w:rPr>
      </w:pPr>
      <w:r w:rsidRPr="00887D6D">
        <w:rPr>
          <w:noProof/>
          <w:sz w:val="20"/>
          <w:szCs w:val="20"/>
        </w:rPr>
        <w:t>Australia is a multicultural country, and a standard ‘one approach fits all’ in terms of contraception discourse – whether it be in an educational or medical setting – will not achieve the desired outcomes. We need to understand people’s cultural biases to advance as a society. This also has far reaching economic implications as it results in increased personal and government healthcare costs. The findings from this study may be used as a springboard for further future research and policy recommendations.</w:t>
      </w:r>
    </w:p>
    <w:p w:rsidR="00887D6D" w:rsidRPr="00992B72" w:rsidRDefault="00887D6D" w:rsidP="00887D6D">
      <w:pPr>
        <w:rPr>
          <w:noProof/>
        </w:rPr>
      </w:pPr>
    </w:p>
    <w:p w:rsidR="00887D6D" w:rsidRPr="00992B72" w:rsidRDefault="00887D6D" w:rsidP="00887D6D">
      <w:r w:rsidRPr="00992B72">
        <w:rPr>
          <w:b/>
          <w:noProof/>
        </w:rPr>
        <w:t>Kyriakos</w:t>
      </w:r>
      <w:r w:rsidRPr="00992B72">
        <w:rPr>
          <w:b/>
        </w:rPr>
        <w:t xml:space="preserve"> </w:t>
      </w:r>
      <w:r w:rsidRPr="00992B72">
        <w:rPr>
          <w:b/>
          <w:noProof/>
        </w:rPr>
        <w:t>Velos</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Redefinition: The shifting nature of crusading in Dante’s time</w:t>
      </w:r>
    </w:p>
    <w:p w:rsidR="00887D6D" w:rsidRPr="00887D6D" w:rsidRDefault="00887D6D" w:rsidP="00887D6D">
      <w:pPr>
        <w:rPr>
          <w:noProof/>
          <w:sz w:val="20"/>
          <w:szCs w:val="20"/>
        </w:rPr>
      </w:pPr>
      <w:r w:rsidRPr="00887D6D">
        <w:rPr>
          <w:noProof/>
          <w:sz w:val="20"/>
          <w:szCs w:val="20"/>
        </w:rPr>
        <w:t>The Divine Comedy is more than Dante’s imaginative representation of what the afterlife looked like according to Catholic doctrine; it serves as a vessel through which his contemporary world can be viewed and understood. One aspect of late mediaeval European life upon which Dante’s texts shed light is the attitudes towards crusading in Western Europe.</w:t>
      </w:r>
    </w:p>
    <w:p w:rsidR="00887D6D" w:rsidRPr="00887D6D" w:rsidRDefault="00887D6D" w:rsidP="00887D6D">
      <w:pPr>
        <w:rPr>
          <w:noProof/>
          <w:sz w:val="20"/>
          <w:szCs w:val="20"/>
        </w:rPr>
      </w:pPr>
      <w:r w:rsidRPr="00887D6D">
        <w:rPr>
          <w:noProof/>
          <w:sz w:val="20"/>
          <w:szCs w:val="20"/>
        </w:rPr>
        <w:t>This presentation will explore how Dante’s insight into crusading reflects the realities of, and contemporary attitudes towards, the crusades from 1280 to 1330. Although references in the Divine Comedy are admittedly scarce, Dante manages to capture and convey the essence of contemporary crusading.</w:t>
      </w:r>
    </w:p>
    <w:p w:rsidR="00887D6D" w:rsidRPr="00887D6D" w:rsidRDefault="00887D6D" w:rsidP="00887D6D">
      <w:pPr>
        <w:rPr>
          <w:sz w:val="20"/>
          <w:szCs w:val="20"/>
        </w:rPr>
      </w:pPr>
      <w:r w:rsidRPr="00887D6D">
        <w:rPr>
          <w:noProof/>
          <w:sz w:val="20"/>
          <w:szCs w:val="20"/>
        </w:rPr>
        <w:t>Among the issues that the Divine Comedy enables us to explore is what groups were viewed as legitimate targets of crusading activity, the calls for the launch of fresh crusades designed to free the Holy Land and the frustration with the lack of effective crusading activity. Dante’s views will be compared to those of his contemporaries to demonstrate that Dante’s notions of crusades mostly correlate to the generally held views in Western Christendom.</w:t>
      </w:r>
    </w:p>
    <w:p w:rsidR="00C23D0D" w:rsidRPr="00B72637" w:rsidRDefault="00C23D0D" w:rsidP="00DD7B70"/>
    <w:p w:rsidR="006564AB" w:rsidRPr="008F0D2E" w:rsidRDefault="006564AB" w:rsidP="00C23D0D">
      <w:pPr>
        <w:pStyle w:val="Heading2"/>
      </w:pPr>
      <w:bookmarkStart w:id="34" w:name="_Toc501711921"/>
      <w:r w:rsidRPr="008F0D2E">
        <w:t xml:space="preserve">Session 6C (Warwick </w:t>
      </w:r>
      <w:r w:rsidR="00B72637">
        <w:t>University</w:t>
      </w:r>
      <w:r w:rsidR="00D23BC9">
        <w:t xml:space="preserve">, </w:t>
      </w:r>
      <w:r w:rsidR="00B72637">
        <w:t xml:space="preserve">UK </w:t>
      </w:r>
      <w:r w:rsidRPr="008F0D2E">
        <w:t>&amp; Kyushu</w:t>
      </w:r>
      <w:r w:rsidR="00B72637">
        <w:t xml:space="preserve"> University, Japan</w:t>
      </w:r>
      <w:r w:rsidRPr="008F0D2E">
        <w:t>)</w:t>
      </w:r>
      <w:bookmarkEnd w:id="34"/>
    </w:p>
    <w:p w:rsidR="0027233B" w:rsidRPr="00C23D0D" w:rsidRDefault="00B72637" w:rsidP="00DD7B70">
      <w:pPr>
        <w:rPr>
          <w:rStyle w:val="SubtleEmphasis"/>
        </w:rPr>
      </w:pPr>
      <w:r w:rsidRPr="00C23D0D">
        <w:rPr>
          <w:rStyle w:val="SubtleEmphasis"/>
        </w:rPr>
        <w:t xml:space="preserve">Theme: </w:t>
      </w:r>
      <w:r w:rsidR="00887D6D" w:rsidRPr="00887D6D">
        <w:rPr>
          <w:rStyle w:val="SubtleEmphasis"/>
        </w:rPr>
        <w:t>Economics, Education and Cultures</w:t>
      </w:r>
    </w:p>
    <w:p w:rsidR="00BF4AE1" w:rsidRDefault="00BF4AE1" w:rsidP="00974811">
      <w:pPr>
        <w:rPr>
          <w:b/>
          <w:noProof/>
        </w:rPr>
      </w:pPr>
    </w:p>
    <w:p w:rsidR="00974811" w:rsidRPr="00992B72" w:rsidRDefault="00974811" w:rsidP="00974811">
      <w:r w:rsidRPr="00992B72">
        <w:rPr>
          <w:b/>
          <w:noProof/>
        </w:rPr>
        <w:lastRenderedPageBreak/>
        <w:t>Paul</w:t>
      </w:r>
      <w:r w:rsidRPr="00992B72">
        <w:rPr>
          <w:b/>
        </w:rPr>
        <w:t xml:space="preserve"> </w:t>
      </w:r>
      <w:r w:rsidRPr="00992B72">
        <w:rPr>
          <w:b/>
          <w:noProof/>
        </w:rPr>
        <w:t>Hicks</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Soft Power? Understanding China’s growing educational investment in Tanzania</w:t>
      </w:r>
    </w:p>
    <w:p w:rsidR="00974811" w:rsidRPr="00974811" w:rsidRDefault="00974811" w:rsidP="00974811">
      <w:pPr>
        <w:rPr>
          <w:noProof/>
          <w:sz w:val="20"/>
          <w:szCs w:val="20"/>
        </w:rPr>
      </w:pPr>
      <w:r w:rsidRPr="00974811">
        <w:rPr>
          <w:noProof/>
          <w:sz w:val="20"/>
          <w:szCs w:val="20"/>
        </w:rPr>
        <w:t>The last decade has seen China’s role in Africa increase drastically. Throughout the continent, significant Chinese investment has been prevalent within infrastructural projects, totalling over $200 billion in SSA since 2010. Tanzania is of particular interest due to the two countries’ historic ‘friendship’, dating back to the 1960s. It is also a nation that has received unparalleled educational investment since 2012, funding higher education ‘Confucian Institutes’ as well as building primary and secondary education facilities and promoting Chinese language and culture. Alongside these, a number of scholarships and stipends have been made available for Tanzanian students to study in China itself.</w:t>
      </w:r>
    </w:p>
    <w:p w:rsidR="00974811" w:rsidRPr="00974811" w:rsidRDefault="00974811" w:rsidP="00974811">
      <w:pPr>
        <w:rPr>
          <w:noProof/>
          <w:sz w:val="20"/>
          <w:szCs w:val="20"/>
        </w:rPr>
      </w:pPr>
      <w:r w:rsidRPr="00974811">
        <w:rPr>
          <w:noProof/>
          <w:sz w:val="20"/>
          <w:szCs w:val="20"/>
        </w:rPr>
        <w:t>My project will detail the growing manifestations of Chinese influence in Tanzanian education, and reveal how these new education opportunities are perceived by Tanzanian recipients, using interviews, visits, archival research and secondary literature to support these insights. Moreover, these details can be used to surmise the contemporary Chinese influence within both education structures and wider society, and debate whether this educational investment can be considered a successful assertion of ‘soft power’.</w:t>
      </w:r>
    </w:p>
    <w:p w:rsidR="00974811" w:rsidRDefault="00974811" w:rsidP="00974811">
      <w:pPr>
        <w:rPr>
          <w:noProof/>
          <w:sz w:val="20"/>
          <w:szCs w:val="20"/>
        </w:rPr>
      </w:pPr>
      <w:r w:rsidRPr="00974811">
        <w:rPr>
          <w:noProof/>
          <w:sz w:val="20"/>
          <w:szCs w:val="20"/>
        </w:rPr>
        <w:t>A growth in contemporary interest over the last decade has ensured a significant increase in research focusing upon the China–Africa relationship. However, little has been produced regarding investment into education and other human resource projects. Additionally, discussions focused on China’s growing role in education are approached from a continental perspective, the consequence being that there are very few investigations of how Chinese educational investment is affecting individual nations while wider theories are prioritised. By narrowing the focus of this research onto one country, I hope to both improve the academic content regarding China’s growing influence within Tanzania, as well as provide a case study for an improved understanding of the context, motivations and consequences of increased Chinese involvement in African education.</w:t>
      </w:r>
      <w:r w:rsidR="00EF0424">
        <w:rPr>
          <w:noProof/>
          <w:sz w:val="20"/>
          <w:szCs w:val="20"/>
        </w:rPr>
        <w:br/>
      </w:r>
    </w:p>
    <w:p w:rsidR="00974811" w:rsidRPr="00992B72" w:rsidRDefault="00974811" w:rsidP="00974811">
      <w:r w:rsidRPr="00992B72">
        <w:rPr>
          <w:b/>
          <w:noProof/>
        </w:rPr>
        <w:t>Darrell</w:t>
      </w:r>
      <w:r w:rsidRPr="00992B72">
        <w:rPr>
          <w:b/>
        </w:rPr>
        <w:t xml:space="preserve"> L</w:t>
      </w:r>
      <w:r w:rsidRPr="00992B72">
        <w:rPr>
          <w:b/>
          <w:noProof/>
        </w:rPr>
        <w:t>im</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Friends with Benefits: Investigating the existence of peer effects in British higher education</w:t>
      </w:r>
    </w:p>
    <w:p w:rsidR="00974811" w:rsidRPr="00974811" w:rsidRDefault="00974811" w:rsidP="00974811">
      <w:pPr>
        <w:rPr>
          <w:noProof/>
          <w:sz w:val="20"/>
          <w:szCs w:val="20"/>
        </w:rPr>
      </w:pPr>
      <w:r w:rsidRPr="00974811">
        <w:rPr>
          <w:noProof/>
          <w:sz w:val="20"/>
          <w:szCs w:val="20"/>
        </w:rPr>
        <w:t>This study investigates and estimates the extent to which peer-performance impacts personal-performance in higher education. Analysing seminars at Warwick University’s Economics department, we estimate a linear-in-means model to study the correlation of average peer-performance to personal-performance, while employing student fixed effects. We investigate non-linearity through functional form re-specification and also reproducing an identification strategy designed by Lavy (2012).</w:t>
      </w:r>
    </w:p>
    <w:p w:rsidR="00974811" w:rsidRPr="00974811" w:rsidRDefault="00974811" w:rsidP="00974811">
      <w:pPr>
        <w:rPr>
          <w:sz w:val="20"/>
          <w:szCs w:val="20"/>
        </w:rPr>
      </w:pPr>
      <w:r w:rsidRPr="00974811">
        <w:rPr>
          <w:noProof/>
          <w:sz w:val="20"/>
          <w:szCs w:val="20"/>
        </w:rPr>
        <w:t>Overall we find increased peer-performance is systematically associated with improved personal-performance. Additionally, we find as average peer-performance increases, the marginal impact on personal-performance decreases. In comparison to contemporary studies on peer effects, our results run complementary with alternative identification methods in this field. We overall reaffirm the importance of peer effects in educational organisation. This suggests that modern-day academic practices such as ability sorting are inefficient to productivity.</w:t>
      </w:r>
    </w:p>
    <w:p w:rsidR="00974811" w:rsidRPr="00974811" w:rsidRDefault="00974811" w:rsidP="00974811">
      <w:pPr>
        <w:rPr>
          <w:sz w:val="20"/>
          <w:szCs w:val="20"/>
        </w:rPr>
      </w:pPr>
    </w:p>
    <w:p w:rsidR="00974811" w:rsidRPr="00974811" w:rsidRDefault="00974811" w:rsidP="00974811">
      <w:pPr>
        <w:rPr>
          <w:sz w:val="20"/>
          <w:szCs w:val="20"/>
        </w:rPr>
      </w:pPr>
      <w:r>
        <w:rPr>
          <w:b/>
        </w:rPr>
        <w:t xml:space="preserve">Ruchie </w:t>
      </w:r>
      <w:r w:rsidRPr="00992B72">
        <w:rPr>
          <w:b/>
        </w:rPr>
        <w:t>Yano</w:t>
      </w:r>
      <w:r>
        <w:t xml:space="preserve"> (Kyushu University, Japan)</w:t>
      </w:r>
      <w:r>
        <w:br/>
      </w:r>
      <w:r w:rsidRPr="00992B72">
        <w:rPr>
          <w:i/>
        </w:rPr>
        <w:t>Creating an Educational System to Fit th</w:t>
      </w:r>
      <w:r>
        <w:rPr>
          <w:i/>
        </w:rPr>
        <w:t>e Needs of Developing Countries</w:t>
      </w:r>
      <w:r>
        <w:rPr>
          <w:i/>
        </w:rPr>
        <w:br/>
      </w:r>
      <w:r>
        <w:rPr>
          <w:sz w:val="20"/>
          <w:szCs w:val="20"/>
        </w:rPr>
        <w:br/>
      </w:r>
      <w:r w:rsidRPr="00974811">
        <w:rPr>
          <w:sz w:val="20"/>
          <w:szCs w:val="20"/>
        </w:rPr>
        <w:t xml:space="preserve">In recent years, education has spread throughout the world. Education is an essential base for people to live with free in society, for human rights and development of regions or countries. Almost all of the developed countries have their own original educational system. However, many less-developed countries do not have this, and they have to imitate what developed countries to do. For that reason, this paper will suggest how educational systems fit developing countries by analysing how developed countries educate and considering the good and bad points of these systems. If the government set the educational system by taking characteristics of their own countries into account, these countries would be able to inspire people to develop </w:t>
      </w:r>
      <w:r w:rsidRPr="00974811">
        <w:rPr>
          <w:sz w:val="20"/>
          <w:szCs w:val="20"/>
        </w:rPr>
        <w:lastRenderedPageBreak/>
        <w:t xml:space="preserve">their own countries. Educated people will be able to develop countries from various fields – for example, industry, economy, politics and medical treatment. The development of a country enables people to acquire a better quality of life. Moreover, educational systems that fit regions will enable people to be able to develop their abilities and maximise them. People can broaden their own potential. In order to put abilities to use and get a good life, we should create educational systems to fit each region. </w:t>
      </w:r>
    </w:p>
    <w:p w:rsidR="00C23D0D" w:rsidRDefault="00C23D0D" w:rsidP="00DD7B70">
      <w:pPr>
        <w:rPr>
          <w:b/>
        </w:rPr>
      </w:pPr>
    </w:p>
    <w:p w:rsidR="00974811" w:rsidRPr="00992B72" w:rsidRDefault="00974811" w:rsidP="00974811">
      <w:r w:rsidRPr="00992B72">
        <w:rPr>
          <w:b/>
          <w:noProof/>
        </w:rPr>
        <w:t>Ashwyn</w:t>
      </w:r>
      <w:r w:rsidRPr="00992B72">
        <w:rPr>
          <w:b/>
        </w:rPr>
        <w:t xml:space="preserve"> </w:t>
      </w:r>
      <w:r w:rsidRPr="00992B72">
        <w:rPr>
          <w:b/>
          <w:noProof/>
        </w:rPr>
        <w:t>Nair</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Secured Debt, Borrower Risk and Financial Technology: Evidence from UK peer-to-business lending</w:t>
      </w:r>
    </w:p>
    <w:p w:rsidR="00974811" w:rsidRPr="00974811" w:rsidRDefault="00974811" w:rsidP="00974811">
      <w:pPr>
        <w:rPr>
          <w:sz w:val="20"/>
          <w:szCs w:val="20"/>
        </w:rPr>
      </w:pPr>
      <w:r w:rsidRPr="00974811">
        <w:rPr>
          <w:noProof/>
          <w:sz w:val="20"/>
          <w:szCs w:val="20"/>
        </w:rPr>
        <w:t>Financial technology has revolutionised the credit acquisition process for SMEs. This paper extends existing research on secured lending into peer-to-business (P2B) platforms. Major theoretical models have conflicting predictions; collateral is viewed as a signalling device or an incentive device, depending on the lender’s ability to observe the default risk of the project. The former suggests secured borrowers are less likely to default, while the latter associates pledged collateral with higher-risk borrowers. A direct test is conducted between collateral and ex post default risk (probability of default). The study uses data on over 6000 completed loans facilitated through Funding Circle. Importantly, unlike much of current literature, a distinction is made between inside and outside collateral. Results show the latter is a superior signalling device; however, its signalling ability reduces for suﬃciently small principal amounts. This is consistent with conjecture that P2B platforms suffer greater informational asymmetry problems than traditional credit markets.</w:t>
      </w:r>
    </w:p>
    <w:p w:rsidR="0098261D" w:rsidRPr="00B72637" w:rsidRDefault="0098261D" w:rsidP="00DD7B70"/>
    <w:p w:rsidR="006564AB" w:rsidRPr="008F0D2E" w:rsidRDefault="006564AB" w:rsidP="00C23D0D">
      <w:pPr>
        <w:pStyle w:val="Heading2"/>
      </w:pPr>
      <w:bookmarkStart w:id="35" w:name="_Toc501711922"/>
      <w:r w:rsidRPr="008F0D2E">
        <w:t>Session 6D (Warwick</w:t>
      </w:r>
      <w:r w:rsidR="00B72637">
        <w:t xml:space="preserve"> University, UK &amp;</w:t>
      </w:r>
      <w:r w:rsidRPr="008F0D2E">
        <w:t xml:space="preserve"> N</w:t>
      </w:r>
      <w:r w:rsidR="00B72637">
        <w:t>anyang Technological University, Singapore</w:t>
      </w:r>
      <w:r w:rsidRPr="008F0D2E">
        <w:t>)</w:t>
      </w:r>
      <w:bookmarkEnd w:id="35"/>
      <w:r w:rsidRPr="008F0D2E">
        <w:t xml:space="preserve"> </w:t>
      </w:r>
    </w:p>
    <w:p w:rsidR="006564AB" w:rsidRPr="00C23D0D" w:rsidRDefault="00B72637" w:rsidP="00DD7B70">
      <w:pPr>
        <w:rPr>
          <w:rStyle w:val="SubtleEmphasis"/>
        </w:rPr>
      </w:pPr>
      <w:r w:rsidRPr="00C23D0D">
        <w:rPr>
          <w:rStyle w:val="SubtleEmphasis"/>
        </w:rPr>
        <w:t xml:space="preserve">Theme: </w:t>
      </w:r>
      <w:r w:rsidR="00974811" w:rsidRPr="00974811">
        <w:rPr>
          <w:rStyle w:val="SubtleEmphasis"/>
        </w:rPr>
        <w:t>Intersection of Engineering and Biomedical Science</w:t>
      </w:r>
    </w:p>
    <w:p w:rsidR="00EB58C1" w:rsidRDefault="00EB58C1" w:rsidP="00DD7B70">
      <w:pPr>
        <w:rPr>
          <w:b/>
        </w:rPr>
      </w:pPr>
    </w:p>
    <w:p w:rsidR="00974811" w:rsidRPr="00992B72" w:rsidRDefault="00974811" w:rsidP="00974811">
      <w:r w:rsidRPr="00992B72">
        <w:rPr>
          <w:b/>
          <w:noProof/>
        </w:rPr>
        <w:t>Mayur</w:t>
      </w:r>
      <w:r w:rsidRPr="00992B72">
        <w:rPr>
          <w:b/>
        </w:rPr>
        <w:t xml:space="preserve"> </w:t>
      </w:r>
      <w:r w:rsidRPr="00992B72">
        <w:rPr>
          <w:b/>
          <w:noProof/>
        </w:rPr>
        <w:t>Dave</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Computing Bianchi Modular Forms</w:t>
      </w:r>
    </w:p>
    <w:p w:rsidR="00974811" w:rsidRPr="00974811" w:rsidRDefault="00974811" w:rsidP="00974811">
      <w:pPr>
        <w:rPr>
          <w:noProof/>
          <w:sz w:val="20"/>
          <w:szCs w:val="20"/>
        </w:rPr>
      </w:pPr>
      <w:r w:rsidRPr="00974811">
        <w:rPr>
          <w:noProof/>
          <w:sz w:val="20"/>
          <w:szCs w:val="20"/>
        </w:rPr>
        <w:t>In recent years, the links with modular forms and other areas of mathematics are becoming increasingly evident. After their use in proving Fermat’s Last Theorem, they have been increasingly studied to see what other gems they may contain using the Langlands program.</w:t>
      </w:r>
    </w:p>
    <w:p w:rsidR="00974811" w:rsidRPr="00974811" w:rsidRDefault="00974811" w:rsidP="00974811">
      <w:pPr>
        <w:rPr>
          <w:noProof/>
          <w:sz w:val="20"/>
          <w:szCs w:val="20"/>
        </w:rPr>
      </w:pPr>
      <w:r w:rsidRPr="00974811">
        <w:rPr>
          <w:noProof/>
          <w:sz w:val="20"/>
          <w:szCs w:val="20"/>
        </w:rPr>
        <w:t>Bianchi modular forms are very special as they are incredibly hard to visualise and work with concretely. Through extensive work by Yasaki and others, we now have explicit algorithms to compute them. The goal of the project is to understand the sharbly algorithm used in the computation of Bianchi modular forms, and implement a general version in the mathematical software Sage. This has plenty of arithmetic applications, since Bianchi modular forms are related via the Langlands program to elliptic curves over imaginary quadratic fields. So far, there is no open-source widely open implementation of this algorithm, which is currently only available in Magma. Having it available in Sage would allow more research to experiment with it. It will also serve as a first step towards more general algorithms related to other reductive groups.</w:t>
      </w:r>
    </w:p>
    <w:p w:rsidR="00974811" w:rsidRPr="00974811" w:rsidRDefault="00974811" w:rsidP="00974811">
      <w:pPr>
        <w:rPr>
          <w:sz w:val="20"/>
          <w:szCs w:val="20"/>
        </w:rPr>
      </w:pPr>
      <w:r w:rsidRPr="00974811">
        <w:rPr>
          <w:noProof/>
          <w:sz w:val="20"/>
          <w:szCs w:val="20"/>
        </w:rPr>
        <w:t>Many researchers have very close links to this topic: Professor John Cremona and his students have been studying the computation of Bianchi modular forms using modular symbols, and Aurel Page has algorithms that compute fundamental domains for the groups that are involved in Bianchi modular forms. Having an open-source computational program in Sage would make the work of researchers much easier.</w:t>
      </w:r>
    </w:p>
    <w:p w:rsidR="00974811" w:rsidRPr="00974811" w:rsidRDefault="00974811" w:rsidP="00DD7B70">
      <w:pPr>
        <w:rPr>
          <w:b/>
          <w:sz w:val="20"/>
          <w:szCs w:val="20"/>
        </w:rPr>
      </w:pPr>
    </w:p>
    <w:p w:rsidR="00974811" w:rsidRPr="00992B72" w:rsidRDefault="00974811" w:rsidP="00974811">
      <w:r w:rsidRPr="00992B72">
        <w:rPr>
          <w:b/>
          <w:noProof/>
        </w:rPr>
        <w:t>Serena Mok Jia</w:t>
      </w:r>
      <w:r w:rsidRPr="00992B72">
        <w:rPr>
          <w:b/>
        </w:rPr>
        <w:t xml:space="preserve"> </w:t>
      </w:r>
      <w:r w:rsidRPr="00992B72">
        <w:rPr>
          <w:b/>
          <w:noProof/>
        </w:rPr>
        <w:t>Xin</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Astratide: A novel Pea Albumin 1-b like peptide in Astragalus membranaceus</w:t>
      </w:r>
    </w:p>
    <w:p w:rsidR="00974811" w:rsidRDefault="00974811" w:rsidP="00974811">
      <w:pPr>
        <w:rPr>
          <w:noProof/>
          <w:sz w:val="20"/>
          <w:szCs w:val="20"/>
        </w:rPr>
      </w:pPr>
      <w:r w:rsidRPr="00974811">
        <w:rPr>
          <w:noProof/>
          <w:sz w:val="20"/>
          <w:szCs w:val="20"/>
        </w:rPr>
        <w:lastRenderedPageBreak/>
        <w:t>Astragalus membranaceus (</w:t>
      </w:r>
      <w:r w:rsidRPr="00974811">
        <w:rPr>
          <w:rFonts w:ascii="MS Gothic" w:hAnsi="MS Gothic" w:cs="MS Gothic"/>
          <w:noProof/>
          <w:sz w:val="20"/>
          <w:szCs w:val="20"/>
        </w:rPr>
        <w:t>黄芪</w:t>
      </w:r>
      <w:r w:rsidRPr="00974811">
        <w:rPr>
          <w:noProof/>
          <w:sz w:val="20"/>
          <w:szCs w:val="20"/>
        </w:rPr>
        <w:t>, Huáng Qí, in Chinese) is one of the commonly used herbs in traditional Chinese medicine for enhancing the immune system and improving the general wellbeing. Clinically, A. membranaceus is also used to treat inflammation, diabetes and high cholesterol. Within the pool of peptides present in A. membranaceus, cysteine-rich peptides (CRPs) are hypothesised to be among the biologically orally active compounds present. Given the presence of multiple intramolecular disulfide bonds, CRPs are stable against thermal, acidic and enzymatic degradation. Hence, this study aims to isolate and characterise a CRP present in A. membranaceus. Firstly, a CRP designated as astratide and abbreviated as aM1 is extracted from A. membranaceus roots and purified through multiple chromatographic steps. It is then identified through reduction-alkylation reactions. Its sequence is furthered determined by LC-MS/MS de novo sequencing and validated by transcriptomic data. Through stability assays, it is proven that aM1 is resistant to degradation by heat, acid and enzymes, including pepsin and aminopeptidase. Sequence alignment further illustrated its biosynthesis pathway, suggesting that aM1 is a homolog to Pea Albumin 1, subunit b (PA1b). It is thus likely to exhibit insulin-like properties, having effects on pancreatic β cells. Therefore, aM1 may become a potential candidate for a new class of orally administrated therapeutic against diabetes.</w:t>
      </w:r>
    </w:p>
    <w:p w:rsidR="00974811" w:rsidRDefault="00974811" w:rsidP="00974811">
      <w:pPr>
        <w:rPr>
          <w:noProof/>
          <w:sz w:val="20"/>
          <w:szCs w:val="20"/>
        </w:rPr>
      </w:pPr>
    </w:p>
    <w:p w:rsidR="00974811" w:rsidRPr="00992B72" w:rsidRDefault="00974811" w:rsidP="00974811">
      <w:r w:rsidRPr="00992B72">
        <w:rPr>
          <w:b/>
          <w:noProof/>
        </w:rPr>
        <w:t>Omar</w:t>
      </w:r>
      <w:r w:rsidRPr="00992B72">
        <w:rPr>
          <w:b/>
        </w:rPr>
        <w:t xml:space="preserve"> </w:t>
      </w:r>
      <w:r w:rsidRPr="00992B72">
        <w:rPr>
          <w:b/>
          <w:noProof/>
        </w:rPr>
        <w:t>Shafi</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Biomedical Anthropology and Engineering: With the exploration of biomedical anthropology, how can engineering be used in order to aid the different medical issues in non-Western countries?</w:t>
      </w:r>
    </w:p>
    <w:p w:rsidR="00974811" w:rsidRPr="00974811" w:rsidRDefault="00974811" w:rsidP="00974811">
      <w:pPr>
        <w:rPr>
          <w:noProof/>
          <w:sz w:val="20"/>
          <w:szCs w:val="20"/>
        </w:rPr>
      </w:pPr>
      <w:r w:rsidRPr="00974811">
        <w:rPr>
          <w:noProof/>
          <w:sz w:val="20"/>
          <w:szCs w:val="20"/>
        </w:rPr>
        <w:t>By combining Biomedical Anthropology and Engineering, the relationship between the natural sciences and arts will unveil how different cultures respond towards innovative engineering. Exploring different diseases and medical phenomena will allow us to understand how the branch of biomedicine has changed, in different parts of the world in order to ameliorate the quality of life – and where each method is applicable. The study of biomedical engineering in this field will draw attention to what components can influence health and wellbeing at low costs, and more importantly, where in the world biomedical engineering is a pressing need. For this reason, we shall be comparing different medical cultures against the West.</w:t>
      </w:r>
    </w:p>
    <w:p w:rsidR="00974811" w:rsidRPr="00974811" w:rsidRDefault="00974811" w:rsidP="00974811">
      <w:pPr>
        <w:rPr>
          <w:sz w:val="20"/>
          <w:szCs w:val="20"/>
        </w:rPr>
      </w:pPr>
      <w:r w:rsidRPr="00974811">
        <w:rPr>
          <w:noProof/>
          <w:sz w:val="20"/>
          <w:szCs w:val="20"/>
        </w:rPr>
        <w:t>Biomedical Anthropology is a recent subfield that has emerged, and early studies provide its fundamentals. The research would like to use this information and apply it across regions of different backgrounds. People in different cultural environments experience a variety of health issues – with medication and treatment (mt) affected by factors such as moral and religious ideologies. Previous research has shown the impact of how medical anthropology has contributed towards the epidemiological and biomedical understanding of HIV in African Societies. Different approaches to aid this epidemic will allow engineers to retrieve information from different angles of thought and create more efficient products. The research will give an insight to what drugs and treatments are prevalent in particular regions. By understanding the culture of the country and its ideas towards mt, engineers will be able to construct, using data, products that help solve specific illnesses within the region.</w:t>
      </w:r>
    </w:p>
    <w:p w:rsidR="00974811" w:rsidRPr="00974811" w:rsidRDefault="00974811" w:rsidP="00974811">
      <w:pPr>
        <w:rPr>
          <w:sz w:val="20"/>
          <w:szCs w:val="20"/>
        </w:rPr>
      </w:pPr>
    </w:p>
    <w:p w:rsidR="00974811" w:rsidRPr="00992B72" w:rsidRDefault="00974811" w:rsidP="00974811">
      <w:r w:rsidRPr="00992B72">
        <w:rPr>
          <w:b/>
          <w:noProof/>
        </w:rPr>
        <w:t>Gemma</w:t>
      </w:r>
      <w:r w:rsidRPr="00992B72">
        <w:rPr>
          <w:b/>
        </w:rPr>
        <w:t xml:space="preserve"> </w:t>
      </w:r>
      <w:r w:rsidRPr="00992B72">
        <w:rPr>
          <w:b/>
          <w:noProof/>
        </w:rPr>
        <w:t>Ford</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Self-Rated Health: A reliable measure? Secondary data analysis of health status and its misclassification in the United Kingdom (2010–2012)</w:t>
      </w:r>
    </w:p>
    <w:p w:rsidR="00974811" w:rsidRPr="00974811" w:rsidRDefault="00974811" w:rsidP="00974811">
      <w:pPr>
        <w:rPr>
          <w:noProof/>
          <w:sz w:val="20"/>
          <w:szCs w:val="20"/>
        </w:rPr>
      </w:pPr>
      <w:r w:rsidRPr="00974811">
        <w:rPr>
          <w:noProof/>
          <w:sz w:val="20"/>
          <w:szCs w:val="20"/>
        </w:rPr>
        <w:t>Obesity is a growing epidemic, governing dominant discourses of public health within contemporary society due to its increasing economic burden and associated high mortality and morbidity rates. An understanding of how individuals perceive their health status is imperative in order to comprehend factors considered when rating health and the implications this has on wider government policy.</w:t>
      </w:r>
    </w:p>
    <w:p w:rsidR="00974811" w:rsidRPr="00974811" w:rsidRDefault="00974811" w:rsidP="00974811">
      <w:pPr>
        <w:rPr>
          <w:noProof/>
          <w:sz w:val="20"/>
          <w:szCs w:val="20"/>
        </w:rPr>
      </w:pPr>
      <w:r w:rsidRPr="00974811">
        <w:rPr>
          <w:noProof/>
          <w:sz w:val="20"/>
          <w:szCs w:val="20"/>
        </w:rPr>
        <w:t xml:space="preserve">This research takes a unique approach by focusing on characteristics of those most likely to have bad self-rated health, and to misclassify their health status within the UK, comparing the objective measure Body Mass Index (BMI), as a measure of obesity, with the subjective measure self-rated health. BMI can be a problematic </w:t>
      </w:r>
      <w:r w:rsidRPr="00974811">
        <w:rPr>
          <w:noProof/>
          <w:sz w:val="20"/>
          <w:szCs w:val="20"/>
        </w:rPr>
        <w:lastRenderedPageBreak/>
        <w:t>measurement of obesity as it does not distinguish between lean and fat. However, it was used in this research due to being the most common measure of obesity by governments and policy-makers.</w:t>
      </w:r>
    </w:p>
    <w:p w:rsidR="00974811" w:rsidRPr="00974811" w:rsidRDefault="00974811" w:rsidP="00974811">
      <w:pPr>
        <w:rPr>
          <w:sz w:val="20"/>
          <w:szCs w:val="20"/>
        </w:rPr>
      </w:pPr>
      <w:r w:rsidRPr="00974811">
        <w:rPr>
          <w:noProof/>
          <w:sz w:val="20"/>
          <w:szCs w:val="20"/>
        </w:rPr>
        <w:t>The Understanding Society dataset is used, derived from the UK Data Service. The ‘unworried ill’ (those who rate their health ‘good’ when obese), and the ‘worried well’ (those who rate their health ‘bad’ when not obese) are compared to those who correctly classify their health status. Cross tabulations, logistic and multinomial logistic regression are carried out. It is expected that differences will occur in conceptions of health based on demographic, behavioural and other attributes. These variations are not accounted for in public health policies, which assume an all-encompassing solution to ill health. As a result, current government policies are proving inefficient in meeting the nation’s needs, suggesting a need to guide future public health policy.</w:t>
      </w:r>
    </w:p>
    <w:p w:rsidR="00974811" w:rsidRPr="00992B72" w:rsidRDefault="00974811" w:rsidP="00974811"/>
    <w:p w:rsidR="006564AB" w:rsidRPr="008F0D2E" w:rsidRDefault="006564AB" w:rsidP="00C23D0D">
      <w:pPr>
        <w:pStyle w:val="Heading2"/>
      </w:pPr>
      <w:bookmarkStart w:id="36" w:name="_Toc501711923"/>
      <w:r w:rsidRPr="008F0D2E">
        <w:t xml:space="preserve">Session 6E (Monash </w:t>
      </w:r>
      <w:r w:rsidR="00D80AA1">
        <w:t xml:space="preserve">University, </w:t>
      </w:r>
      <w:r w:rsidRPr="008F0D2E">
        <w:t xml:space="preserve">Australia &amp; </w:t>
      </w:r>
      <w:r w:rsidR="00D80AA1">
        <w:t xml:space="preserve">University of </w:t>
      </w:r>
      <w:r w:rsidRPr="008F0D2E">
        <w:t>Leeds</w:t>
      </w:r>
      <w:r w:rsidR="00D80AA1">
        <w:t>, UK</w:t>
      </w:r>
      <w:r w:rsidRPr="008F0D2E">
        <w:t>)</w:t>
      </w:r>
      <w:bookmarkEnd w:id="36"/>
      <w:r w:rsidRPr="008F0D2E">
        <w:t xml:space="preserve"> </w:t>
      </w:r>
    </w:p>
    <w:p w:rsidR="0027233B" w:rsidRPr="00C23D0D" w:rsidRDefault="00D80AA1" w:rsidP="00DD7B70">
      <w:pPr>
        <w:rPr>
          <w:rStyle w:val="SubtleEmphasis"/>
        </w:rPr>
      </w:pPr>
      <w:r w:rsidRPr="00C23D0D">
        <w:rPr>
          <w:rStyle w:val="SubtleEmphasis"/>
        </w:rPr>
        <w:t xml:space="preserve">Theme: </w:t>
      </w:r>
      <w:r w:rsidR="00974811" w:rsidRPr="00974811">
        <w:rPr>
          <w:rStyle w:val="SubtleEmphasis"/>
        </w:rPr>
        <w:t>Immigration &amp; the Nation</w:t>
      </w:r>
    </w:p>
    <w:p w:rsidR="00C23D0D" w:rsidRDefault="00C23D0D" w:rsidP="00DD7B70">
      <w:pPr>
        <w:rPr>
          <w:b/>
        </w:rPr>
      </w:pPr>
    </w:p>
    <w:p w:rsidR="00974811" w:rsidRPr="00992B72" w:rsidRDefault="00974811" w:rsidP="00974811">
      <w:r w:rsidRPr="00992B72">
        <w:rPr>
          <w:b/>
          <w:noProof/>
        </w:rPr>
        <w:t>Sanket</w:t>
      </w:r>
      <w:r w:rsidRPr="00992B72">
        <w:rPr>
          <w:b/>
        </w:rPr>
        <w:t xml:space="preserve"> </w:t>
      </w:r>
      <w:r w:rsidRPr="00992B72">
        <w:rPr>
          <w:b/>
          <w:noProof/>
        </w:rPr>
        <w:t>Nagar</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Gender Differences in Verbal Episodic Memory Across 44 Countries: The impact of social progress indicators</w:t>
      </w:r>
    </w:p>
    <w:p w:rsidR="00974811" w:rsidRPr="00974811" w:rsidRDefault="00974811" w:rsidP="00974811">
      <w:pPr>
        <w:rPr>
          <w:noProof/>
          <w:sz w:val="20"/>
          <w:szCs w:val="20"/>
        </w:rPr>
      </w:pPr>
      <w:r w:rsidRPr="00974811">
        <w:rPr>
          <w:noProof/>
          <w:sz w:val="20"/>
          <w:szCs w:val="20"/>
        </w:rPr>
        <w:t>Cognitive gender differences continue to be documented in research and are suggestive that males and females may have varying cognitive abilities in certain cognitive domains. These differences are important to study as they may have implications for gender segregation in education, occupation and how society is structured overall.</w:t>
      </w:r>
    </w:p>
    <w:p w:rsidR="00974811" w:rsidRPr="00974811" w:rsidRDefault="00974811" w:rsidP="00974811">
      <w:pPr>
        <w:rPr>
          <w:noProof/>
          <w:sz w:val="20"/>
          <w:szCs w:val="20"/>
        </w:rPr>
      </w:pPr>
      <w:r w:rsidRPr="00974811">
        <w:rPr>
          <w:noProof/>
          <w:sz w:val="20"/>
          <w:szCs w:val="20"/>
        </w:rPr>
        <w:t>Using data from 44 countries, based on 327 studies, the current paper aimed to explore gender differences in verbal episodic memory across countries, and assess if the magnitude of gender differences varies as a product of social progress indicators. Using meta-analytical and regression analyses, the results showed (1) that females outperformed males in most regions around the world; (2) there is a positive association between gender equality and GDP per capita with females’ advantage in task performance. It is suggested that gender equality and GDP per capita may act as proxies for educational and employment opportunities, and more broadly, cognitive stimulation.</w:t>
      </w:r>
    </w:p>
    <w:p w:rsidR="00974811" w:rsidRPr="00974811" w:rsidRDefault="00974811" w:rsidP="00974811">
      <w:pPr>
        <w:rPr>
          <w:sz w:val="20"/>
          <w:szCs w:val="20"/>
        </w:rPr>
      </w:pPr>
      <w:r w:rsidRPr="00974811">
        <w:rPr>
          <w:noProof/>
          <w:sz w:val="20"/>
          <w:szCs w:val="20"/>
        </w:rPr>
        <w:t>Taken together, the results suggest females may be predisposed to greater verbal episodic memory than males, in that they may be expected to perform at a higher level than males on verbal episodic tasks. The results also suggest that the full potential of females’ ability may only be allowed to be expressed with greater opportunities through cognitive stimulation and more enriching environments.</w:t>
      </w:r>
    </w:p>
    <w:p w:rsidR="00C23D0D" w:rsidRDefault="00C23D0D" w:rsidP="00DD7B70"/>
    <w:p w:rsidR="00974811" w:rsidRPr="00992B72" w:rsidRDefault="00974811" w:rsidP="00974811">
      <w:r w:rsidRPr="00992B72">
        <w:rPr>
          <w:b/>
          <w:noProof/>
        </w:rPr>
        <w:t>Kristian</w:t>
      </w:r>
      <w:r w:rsidRPr="00992B72">
        <w:rPr>
          <w:b/>
        </w:rPr>
        <w:t xml:space="preserve"> </w:t>
      </w:r>
      <w:r w:rsidRPr="00992B72">
        <w:rPr>
          <w:b/>
          <w:noProof/>
        </w:rPr>
        <w:t>Lang</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The Source of State Sovereignty and National Interest</w:t>
      </w:r>
    </w:p>
    <w:p w:rsidR="00974811" w:rsidRPr="00974811" w:rsidRDefault="00974811" w:rsidP="00974811">
      <w:pPr>
        <w:rPr>
          <w:sz w:val="20"/>
          <w:szCs w:val="20"/>
        </w:rPr>
      </w:pPr>
      <w:r w:rsidRPr="00974811">
        <w:rPr>
          <w:noProof/>
          <w:sz w:val="20"/>
          <w:szCs w:val="20"/>
        </w:rPr>
        <w:t xml:space="preserve">How does the source of a state’s sovereignty affect its interests? State sovereignty is one of the most important concepts in modern international relations, yet its origins within the populace are often overlooked or ignored. Mainstream International Relations theory often sees states as unitary actors with state-specific interests such as ‘national security’ and ‘economic prosperity’. Yet treating states as units is too reductive: it fails to realise that states are socially constructed entities made up of people, and that it is from the consent of these people that governments draw their sovereign legitimacy. In this paper, I will first examine classical political philosophy, like Thomas Hobbes’ </w:t>
      </w:r>
      <w:r w:rsidRPr="00974811">
        <w:rPr>
          <w:i/>
          <w:noProof/>
          <w:sz w:val="20"/>
          <w:szCs w:val="20"/>
        </w:rPr>
        <w:t>Leviathan</w:t>
      </w:r>
      <w:r w:rsidRPr="00974811">
        <w:rPr>
          <w:noProof/>
          <w:sz w:val="20"/>
          <w:szCs w:val="20"/>
        </w:rPr>
        <w:t xml:space="preserve">, to investigate the theoretical origins of the state. From there, I will explore constructivist and critical theories of political legitimacy and critique the simplistic individual/state distinction made by mainstream International Relations theory. I expect to find that traditional International Relation’s conception of state interest is misguided, preferencing high political interests over the </w:t>
      </w:r>
      <w:r w:rsidRPr="00974811">
        <w:rPr>
          <w:noProof/>
          <w:sz w:val="20"/>
          <w:szCs w:val="20"/>
        </w:rPr>
        <w:lastRenderedPageBreak/>
        <w:t>interests of the citizens that comprise a state. Instead, by acknowledging the source of a state’s sovereignty, I expect to find a set of state interests that are less militaristic and more focused on human rights, human security and prosperity. Discussions such as this are particularly important in a changing international landscape: sovereignty is being challenged from all sides by global governance mechanisms, corporations and individuals. I expect that this research will provide support for doctrines like the Responsibility to Protect, while warning against corporate challenges to the legitimacy of states.</w:t>
      </w:r>
    </w:p>
    <w:p w:rsidR="00C23D0D" w:rsidRDefault="00C23D0D" w:rsidP="00DD7B70"/>
    <w:p w:rsidR="00974811" w:rsidRPr="00992B72" w:rsidRDefault="00974811" w:rsidP="00974811">
      <w:r w:rsidRPr="00992B72">
        <w:rPr>
          <w:b/>
          <w:noProof/>
        </w:rPr>
        <w:t>Suvi</w:t>
      </w:r>
      <w:r w:rsidRPr="00992B72">
        <w:rPr>
          <w:b/>
        </w:rPr>
        <w:t xml:space="preserve"> </w:t>
      </w:r>
      <w:r w:rsidRPr="00992B72">
        <w:rPr>
          <w:b/>
          <w:noProof/>
        </w:rPr>
        <w:t>Lokuge</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Immigrants are not Stealing your Jobs</w:t>
      </w:r>
    </w:p>
    <w:p w:rsidR="00974811" w:rsidRPr="00974811" w:rsidRDefault="00974811" w:rsidP="00974811">
      <w:pPr>
        <w:rPr>
          <w:noProof/>
          <w:sz w:val="20"/>
          <w:szCs w:val="20"/>
        </w:rPr>
      </w:pPr>
      <w:r w:rsidRPr="00974811">
        <w:rPr>
          <w:noProof/>
          <w:sz w:val="20"/>
          <w:szCs w:val="20"/>
        </w:rPr>
        <w:t>This paper considers economic models regarding immigration policy and the age-old question of whether immigrants ‘steal jobs’ from native workers. Politicians throughout Europe, America and Australia have enforced stricter immigration policies in attempts to prioritise native workers during economic downturn. However, are these policies based on objective evidence of immigrants stealing jobs? More often than not, this is not the case. Economic literature suggests that immigrants are only a threat to native workers if immigrants and native workers are substitutes for each other, and perform the same tasks. If immigrants complement native workers, they will boost the economy by providing skills previously inaccessible to native workers. In the surrounding literature, the Roy Model argues that the economic impact of immigration depends on whether the immigrant is a high skill or low skill worker. Additionally, Borjas argues that in the long run, wages return to original levels as demand for labour increases. By examining the relevant economic literature on this topic, I hope to change the conversation and provide a more facts-based approach to immigration policy.</w:t>
      </w:r>
    </w:p>
    <w:p w:rsidR="00974811" w:rsidRDefault="00974811" w:rsidP="00974811">
      <w:pPr>
        <w:rPr>
          <w:noProof/>
          <w:sz w:val="20"/>
          <w:szCs w:val="20"/>
        </w:rPr>
      </w:pPr>
      <w:r w:rsidRPr="00974811">
        <w:rPr>
          <w:noProof/>
          <w:sz w:val="20"/>
          <w:szCs w:val="20"/>
        </w:rPr>
        <w:t>Keywords: Employment, immigration, policy, wages, unemployment, complements, substitutes, skills</w:t>
      </w:r>
    </w:p>
    <w:p w:rsidR="00974811" w:rsidRPr="00992B72" w:rsidRDefault="00974811" w:rsidP="00974811">
      <w:r w:rsidRPr="00992B72">
        <w:rPr>
          <w:b/>
          <w:noProof/>
        </w:rPr>
        <w:t>Jose</w:t>
      </w:r>
      <w:r w:rsidRPr="00992B72">
        <w:rPr>
          <w:b/>
        </w:rPr>
        <w:t xml:space="preserve"> </w:t>
      </w:r>
      <w:r w:rsidRPr="00992B72">
        <w:rPr>
          <w:b/>
          <w:noProof/>
        </w:rPr>
        <w:t>Raisey-Skeats</w:t>
      </w:r>
      <w:r w:rsidRPr="00992B72">
        <w:t xml:space="preserve"> (</w:t>
      </w:r>
      <w:r w:rsidRPr="00992B72">
        <w:rPr>
          <w:noProof/>
        </w:rPr>
        <w:t>Leeds University</w:t>
      </w:r>
      <w:r w:rsidRPr="00992B72">
        <w:t xml:space="preserve">, </w:t>
      </w:r>
      <w:r w:rsidRPr="00992B72">
        <w:rPr>
          <w:noProof/>
        </w:rPr>
        <w:t>UK</w:t>
      </w:r>
      <w:r>
        <w:t>)</w:t>
      </w:r>
      <w:r>
        <w:br/>
      </w:r>
      <w:r w:rsidRPr="00992B72">
        <w:rPr>
          <w:i/>
          <w:noProof/>
        </w:rPr>
        <w:t>A National Analysis of Everyday Racism, Discourses and Anxieties in Spain with an Interest in the Experience of Moroccan Immigrants</w:t>
      </w:r>
    </w:p>
    <w:p w:rsidR="00974811" w:rsidRPr="00974811" w:rsidRDefault="00974811" w:rsidP="00974811">
      <w:pPr>
        <w:rPr>
          <w:noProof/>
          <w:sz w:val="20"/>
          <w:szCs w:val="20"/>
        </w:rPr>
      </w:pPr>
      <w:r w:rsidRPr="00974811">
        <w:rPr>
          <w:noProof/>
          <w:sz w:val="20"/>
          <w:szCs w:val="20"/>
        </w:rPr>
        <w:t>This research aims to widen the scope of understanding and analyse the experiences of Moroccan immigrants in Spain through the lens of everyday racism, discourses and anxieties that exists within the public sphere. Through distinguishing generational differences in attitudes alongside the theme of Moroccan discrimination in Spain, it became crucial to include younger and older participants to fully gauge the implications of the study, and build a more representable picture of the differing views and experiences.</w:t>
      </w:r>
    </w:p>
    <w:p w:rsidR="00974811" w:rsidRPr="00974811" w:rsidRDefault="00974811" w:rsidP="00974811">
      <w:pPr>
        <w:rPr>
          <w:noProof/>
          <w:sz w:val="20"/>
          <w:szCs w:val="20"/>
        </w:rPr>
      </w:pPr>
      <w:r w:rsidRPr="00974811">
        <w:rPr>
          <w:noProof/>
          <w:sz w:val="20"/>
          <w:szCs w:val="20"/>
        </w:rPr>
        <w:t>In order to test these ideas and demonstrate if they corresponded with reality, the researcher employed an epistemological approach to explore the participant’s experience. Questionnaires were utilised with an emphasis on collecting qualitative data and then a thematic analysis was used to identify key themes. Once identified, they were analysed to validate the themes established.</w:t>
      </w:r>
    </w:p>
    <w:p w:rsidR="00974811" w:rsidRPr="00974811" w:rsidRDefault="00974811" w:rsidP="00974811">
      <w:pPr>
        <w:rPr>
          <w:sz w:val="20"/>
          <w:szCs w:val="20"/>
        </w:rPr>
      </w:pPr>
      <w:r w:rsidRPr="00974811">
        <w:rPr>
          <w:noProof/>
          <w:sz w:val="20"/>
          <w:szCs w:val="20"/>
        </w:rPr>
        <w:t>The study focused on three themes, inspired from existing literature and personal observation. In respect to Spain, there has been a step forward in the inclusion of Moroccan immigrants; however, it is important to discover the extent of this progressive shift in policy to fully integrate this community into wider Spanish society. Secondly, an examination of contemporary events, discourses and ideas are utilised to demonstrate if current racial concerns have influenced differential perspectives towards race. The third theme relies heavily on the historical context of Spain to see whether there is a running narrative from the legacy of the past and if that determines the contemporary rhetoric of racial anxieties, with the aim of creating awareness of their experience.</w:t>
      </w:r>
    </w:p>
    <w:p w:rsidR="00974811" w:rsidRPr="00974811" w:rsidRDefault="00974811" w:rsidP="00974811">
      <w:pPr>
        <w:rPr>
          <w:sz w:val="20"/>
          <w:szCs w:val="20"/>
        </w:rPr>
      </w:pPr>
    </w:p>
    <w:p w:rsidR="00974811" w:rsidRDefault="00974811">
      <w:pPr>
        <w:pStyle w:val="Heading2"/>
      </w:pPr>
      <w:bookmarkStart w:id="37" w:name="_Toc501711924"/>
      <w:r>
        <w:t>Session 6F (Monash University, Australian &amp; Malaysia)</w:t>
      </w:r>
      <w:bookmarkEnd w:id="37"/>
    </w:p>
    <w:p w:rsidR="00974811" w:rsidRDefault="005C2B85" w:rsidP="00974811">
      <w:pPr>
        <w:rPr>
          <w:i/>
        </w:rPr>
      </w:pPr>
      <w:r>
        <w:rPr>
          <w:i/>
        </w:rPr>
        <w:t xml:space="preserve">Theme: </w:t>
      </w:r>
      <w:r w:rsidRPr="005C2B85">
        <w:rPr>
          <w:i/>
        </w:rPr>
        <w:t>Gender, Identity &amp; Human Rights</w:t>
      </w:r>
    </w:p>
    <w:p w:rsidR="005C2B85" w:rsidRPr="00992B72" w:rsidRDefault="005C2B85" w:rsidP="005C2B85">
      <w:r w:rsidRPr="00992B72">
        <w:rPr>
          <w:b/>
          <w:noProof/>
        </w:rPr>
        <w:lastRenderedPageBreak/>
        <w:t>Madeline</w:t>
      </w:r>
      <w:r w:rsidRPr="00992B72">
        <w:rPr>
          <w:b/>
        </w:rPr>
        <w:t xml:space="preserve"> </w:t>
      </w:r>
      <w:r w:rsidRPr="00992B72">
        <w:rPr>
          <w:b/>
          <w:noProof/>
        </w:rPr>
        <w:t>Gourlay</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‘IM GOING TO RAPE YOU’: Social media regulation and the normalisation of rape and death threats to women online</w:t>
      </w:r>
    </w:p>
    <w:p w:rsidR="005C2B85" w:rsidRPr="005C2B85" w:rsidRDefault="005C2B85" w:rsidP="005C2B85">
      <w:pPr>
        <w:rPr>
          <w:sz w:val="20"/>
          <w:szCs w:val="20"/>
        </w:rPr>
      </w:pPr>
      <w:r w:rsidRPr="005C2B85">
        <w:rPr>
          <w:noProof/>
          <w:sz w:val="20"/>
          <w:szCs w:val="20"/>
        </w:rPr>
        <w:t>The relatively new arrival of social media has caused media organisations and the law enforcement to be unsure of appropriate responses to cyber hate, especially against women. Consequently, there has been criticism towards these organisations as they navigate real threats of rape and murder, as opposed to punishing all threats. Internet users commonly respond with graphic rape and death threats when they wish to voice their disagreement or disapproval of a woman. This paper seeks to address the question of how the lack of social media regulation contributes to the normalisation of rape and death threats to women online. The relationship between cultural norms and the activities of the online community are intertwined. Hateful attitudes and discrimination against women on the Internet skews how society perceives and treats women. The paper is framed around feminist media theory, specifically Jane’s concept of gendered e-bile and Mantilla’s concept of gender-trolling. Both feminist theories address an online gendered virulent that is fuelled by a genuinely held misogynistic view. An archive of Zuckerberg’s Facebook media releases regarding regulations, The United States and Australian Media Regulations between 2015 and 2016 was created to explore the evolution of regulation policies and reveal the constraints. This archive offers a holistic understanding of the regulations’ contributions to normalising rape and death threats towards women online. Regulators are provided with a greater understanding of the cultural issues that ferment the online culture of cyber hate and how they may encourage positive change.</w:t>
      </w:r>
    </w:p>
    <w:p w:rsidR="005C2B85" w:rsidRDefault="005C2B85" w:rsidP="00974811">
      <w:pPr>
        <w:rPr>
          <w:i/>
        </w:rPr>
      </w:pPr>
    </w:p>
    <w:p w:rsidR="005C2B85" w:rsidRPr="000240C6" w:rsidRDefault="005C2B85" w:rsidP="00974811">
      <w:pPr>
        <w:rPr>
          <w:i/>
        </w:rPr>
      </w:pPr>
      <w:r w:rsidRPr="000240C6">
        <w:rPr>
          <w:b/>
        </w:rPr>
        <w:t>Sitwat Hashmi</w:t>
      </w:r>
      <w:r w:rsidRPr="000240C6">
        <w:t xml:space="preserve"> (Monash Malaysia)</w:t>
      </w:r>
    </w:p>
    <w:p w:rsidR="000240C6" w:rsidRPr="000240C6" w:rsidRDefault="000240C6" w:rsidP="00974811">
      <w:pPr>
        <w:rPr>
          <w:i/>
        </w:rPr>
      </w:pPr>
      <w:r w:rsidRPr="000240C6">
        <w:rPr>
          <w:i/>
        </w:rPr>
        <w:t>In Search of an Identity: Third-Culture-Kids and Nationalism</w:t>
      </w:r>
    </w:p>
    <w:p w:rsidR="000240C6" w:rsidRPr="00EF0424" w:rsidRDefault="000240C6" w:rsidP="000240C6">
      <w:pPr>
        <w:rPr>
          <w:noProof/>
          <w:sz w:val="20"/>
          <w:szCs w:val="20"/>
        </w:rPr>
      </w:pPr>
      <w:r w:rsidRPr="00EF0424">
        <w:rPr>
          <w:noProof/>
          <w:sz w:val="20"/>
          <w:szCs w:val="20"/>
        </w:rPr>
        <w:t xml:space="preserve">This paper seeks to find a relationship between nationalism and its effects on the identities of Third-Culture-Kids. A Third-Culture-Kid, for sake of this particular research only, would be anyone who has been raised by intercultural parents or has not been brought up in their nation state of origin. It hopes to uncover why Third-Culture-Kids feel a disconnection towards a single nation state, yet, feel connected to multiple nation states. It will study this in the light of nationalism being used as a political tool to construct the identities of citizens and analyze how this concept problematizes the identities of Third-Culture-Kids, causing them to feel alienated and unbefitting. </w:t>
      </w:r>
    </w:p>
    <w:p w:rsidR="000240C6" w:rsidRPr="00EF0424" w:rsidRDefault="000240C6" w:rsidP="000240C6">
      <w:pPr>
        <w:rPr>
          <w:noProof/>
          <w:sz w:val="20"/>
          <w:szCs w:val="20"/>
        </w:rPr>
      </w:pPr>
      <w:r w:rsidRPr="00EF0424">
        <w:rPr>
          <w:noProof/>
          <w:sz w:val="20"/>
          <w:szCs w:val="20"/>
        </w:rPr>
        <w:t xml:space="preserve">The research conducted would largely be qualitative, in that, it will consist of a small scale ethnographic study and detailed interviews conducted in form of focus groups. The research will also take into account academic literature to assist the critical analysis of the information obtained from the focus group interviews. The research will then study the results and the research material through the Foucauldian approach in terms of governmentality. </w:t>
      </w:r>
    </w:p>
    <w:p w:rsidR="000240C6" w:rsidRPr="00EF0424" w:rsidRDefault="000240C6" w:rsidP="000240C6">
      <w:pPr>
        <w:rPr>
          <w:noProof/>
          <w:sz w:val="20"/>
          <w:szCs w:val="20"/>
        </w:rPr>
      </w:pPr>
      <w:r w:rsidRPr="00EF0424">
        <w:rPr>
          <w:noProof/>
          <w:sz w:val="20"/>
          <w:szCs w:val="20"/>
        </w:rPr>
        <w:t>This research expects to find a co-relation between the identity crisis that Third-Culture-Kids face and the politics of nationalism. It would also like to find if Third-Culture-Kids do indeed possess “superior cultural intelligence” as Hoogvelt (1997) believed. In that, it will try to see if Third-Culture-Kids are more accepting and more adaptive towards new and different cultures. Moreover, it will also seek to find if Third-Culture-Kids feel more at home in a foreign nation state as opposed to their nation state of origin.</w:t>
      </w:r>
    </w:p>
    <w:p w:rsidR="000240C6" w:rsidRPr="00EF0424" w:rsidRDefault="000240C6" w:rsidP="000240C6">
      <w:pPr>
        <w:rPr>
          <w:noProof/>
          <w:sz w:val="20"/>
          <w:szCs w:val="20"/>
        </w:rPr>
      </w:pPr>
      <w:r w:rsidRPr="00EF0424">
        <w:rPr>
          <w:noProof/>
          <w:sz w:val="20"/>
          <w:szCs w:val="20"/>
        </w:rPr>
        <w:t>To conclude, the research will seek to add to the relatively slight amount of research conducted on Third-Culture-Kids and their identities in relation to nationalism. It will seek to add new knowledge to the subject, in light of existing academic work, to improve and provide perspective.</w:t>
      </w:r>
    </w:p>
    <w:p w:rsidR="000240C6" w:rsidRDefault="000240C6" w:rsidP="005C2B85">
      <w:pPr>
        <w:rPr>
          <w:b/>
          <w:noProof/>
        </w:rPr>
      </w:pPr>
    </w:p>
    <w:p w:rsidR="005C2B85" w:rsidRPr="00992B72" w:rsidRDefault="005C2B85" w:rsidP="005C2B85">
      <w:r w:rsidRPr="00992B72">
        <w:rPr>
          <w:b/>
          <w:noProof/>
        </w:rPr>
        <w:t>Xueh Wei</w:t>
      </w:r>
      <w:r w:rsidRPr="00992B72">
        <w:rPr>
          <w:b/>
        </w:rPr>
        <w:t xml:space="preserve"> </w:t>
      </w:r>
      <w:r w:rsidRPr="00992B72">
        <w:rPr>
          <w:b/>
          <w:noProof/>
        </w:rPr>
        <w:t>Tam</w:t>
      </w:r>
      <w:r w:rsidRPr="00992B72">
        <w:t xml:space="preserve"> (</w:t>
      </w:r>
      <w:r w:rsidRPr="00992B72">
        <w:rPr>
          <w:noProof/>
        </w:rPr>
        <w:t>Monash University</w:t>
      </w:r>
      <w:r w:rsidRPr="00992B72">
        <w:t xml:space="preserve">, </w:t>
      </w:r>
      <w:r w:rsidRPr="00992B72">
        <w:rPr>
          <w:noProof/>
        </w:rPr>
        <w:t>Malaysia</w:t>
      </w:r>
      <w:r>
        <w:t>)</w:t>
      </w:r>
      <w:r>
        <w:br/>
      </w:r>
      <w:r w:rsidRPr="00992B72">
        <w:rPr>
          <w:i/>
          <w:noProof/>
        </w:rPr>
        <w:t>Stone Age: Negotiating homosexuality rights with Islam in a Bruneian context</w:t>
      </w:r>
    </w:p>
    <w:p w:rsidR="005C2B85" w:rsidRPr="005C2B85" w:rsidRDefault="005C2B85" w:rsidP="005C2B85">
      <w:pPr>
        <w:rPr>
          <w:sz w:val="20"/>
          <w:szCs w:val="20"/>
        </w:rPr>
      </w:pPr>
      <w:r w:rsidRPr="005C2B85">
        <w:rPr>
          <w:noProof/>
          <w:sz w:val="20"/>
          <w:szCs w:val="20"/>
        </w:rPr>
        <w:lastRenderedPageBreak/>
        <w:t>This research intends to question how the international media portrays the relationship between the implementation of Sharia law in Brunei Darussalam and how this affects homosexuality rights of the Bruneians. It would also be interesting to examine how Bruneian homosexuals navigate their lives within the nation under the Sharia law, which claims to stone homosexuals. This topic is significant as there has not been much critical engagement with the complexities of this issue. More interestingly, some Bruneians revealed that they do not blame their Sultan for the law. The methodology that would be used is a textual analysis on media texts to examine the different representations in international media on the implementation of Sharia law in Brunei Darussalam and its effects on homosexuality rights. It would also help to interview Bruneian gays on their thoughts and lived experiences after the law implementation. I hypothesise that the dominant discourse regarding the implementation of Sharia law would surround themes of negativity and inhumanity as liberal discourse would condemn it for not respecting homosexuals’ fundamental human rights. Furthermore, the law could possibly be merely a deterrent for homosexuals to be openly expressive about their sexualities in Brunei Darussalam, as Islam is its official religion, and not meant for active persecution. By analysing my findings, I hope to shed more light on how homosexuals in Brunei negotiate their sexuality around the Islamic Sharia law, and whether the media plays a part.</w:t>
      </w:r>
    </w:p>
    <w:p w:rsidR="005C2B85" w:rsidRDefault="005C2B85" w:rsidP="00974811"/>
    <w:p w:rsidR="005C2B85" w:rsidRPr="00992B72" w:rsidRDefault="005C2B85" w:rsidP="005C2B85">
      <w:r w:rsidRPr="00992B72">
        <w:rPr>
          <w:b/>
          <w:noProof/>
        </w:rPr>
        <w:t>June</w:t>
      </w:r>
      <w:r w:rsidRPr="00992B72">
        <w:rPr>
          <w:b/>
        </w:rPr>
        <w:t xml:space="preserve"> </w:t>
      </w:r>
      <w:r w:rsidRPr="00992B72">
        <w:rPr>
          <w:b/>
          <w:noProof/>
        </w:rPr>
        <w:t>Ong</w:t>
      </w:r>
      <w:r w:rsidRPr="00992B72">
        <w:t xml:space="preserve"> (</w:t>
      </w:r>
      <w:r w:rsidRPr="00992B72">
        <w:rPr>
          <w:noProof/>
        </w:rPr>
        <w:t>University of Warwick</w:t>
      </w:r>
      <w:r w:rsidRPr="00992B72">
        <w:t xml:space="preserve">, </w:t>
      </w:r>
      <w:r w:rsidRPr="00992B72">
        <w:rPr>
          <w:noProof/>
        </w:rPr>
        <w:t>UK</w:t>
      </w:r>
      <w:r w:rsidR="00A407B0">
        <w:t>)</w:t>
      </w:r>
      <w:r w:rsidR="00A407B0">
        <w:br/>
      </w:r>
      <w:r w:rsidRPr="00992B72">
        <w:rPr>
          <w:i/>
          <w:noProof/>
        </w:rPr>
        <w:t>Supposed Universality of Rights</w:t>
      </w:r>
    </w:p>
    <w:p w:rsidR="005C2B85" w:rsidRPr="005C2B85" w:rsidRDefault="005C2B85" w:rsidP="005C2B85">
      <w:pPr>
        <w:rPr>
          <w:noProof/>
          <w:sz w:val="20"/>
          <w:szCs w:val="20"/>
        </w:rPr>
      </w:pPr>
      <w:r w:rsidRPr="005C2B85">
        <w:rPr>
          <w:noProof/>
          <w:sz w:val="20"/>
          <w:szCs w:val="20"/>
        </w:rPr>
        <w:t>Although rights are meant to be universal, in reality, we are faced with the ironic conflict of our freedom being limited by circumstances when the legal system is only prepared to acknowledge publicly some aspects of identity but not others, as raised by Douzinas.</w:t>
      </w:r>
    </w:p>
    <w:p w:rsidR="005C2B85" w:rsidRPr="005C2B85" w:rsidRDefault="005C2B85" w:rsidP="005C2B85">
      <w:pPr>
        <w:rPr>
          <w:noProof/>
          <w:sz w:val="20"/>
          <w:szCs w:val="20"/>
        </w:rPr>
      </w:pPr>
      <w:r w:rsidRPr="005C2B85">
        <w:rPr>
          <w:noProof/>
          <w:sz w:val="20"/>
          <w:szCs w:val="20"/>
        </w:rPr>
        <w:t>There is an ironic concept where we are only granted ‘rights’ in selected circumstances by conforming to existing structures. LGBT rights is an example. Drawing on the analogy of a convict being ‘civilly dead’ in the eyes of the law, as coined by Dayan, the LGBT community lacks the right to be themselves however they wish because they are confined by the scope of law. In Ruffin v Commonwealth, Justice Christian decided that ‘The bill of rights … govern a society of freemen … but felons do not have such rights.’</w:t>
      </w:r>
    </w:p>
    <w:p w:rsidR="005C2B85" w:rsidRPr="005C2B85" w:rsidRDefault="005C2B85" w:rsidP="005C2B85">
      <w:pPr>
        <w:rPr>
          <w:sz w:val="20"/>
          <w:szCs w:val="20"/>
        </w:rPr>
      </w:pPr>
      <w:r w:rsidRPr="005C2B85">
        <w:rPr>
          <w:noProof/>
          <w:sz w:val="20"/>
          <w:szCs w:val="20"/>
        </w:rPr>
        <w:t>A more lenient critique of supposed universality is due to the inability of the authority to provide equal opportunities for all. There is a poverty of formal equality (when the law offers citizens equal rights) due to the demands of substantive equality. Outwardly, nobody is formally discriminated against. Substantive equality is when the rights that secure opportunities actually require the provision of further rights to enjoy that opportunity. Without this extra provision, although everyone has the opportunity to that right in theory, in reality only some people can secure that opportunity to make full use of it. Although this is inegalitarian in practice, there is nothing that can be done by the higher authorities.</w:t>
      </w:r>
    </w:p>
    <w:p w:rsidR="005C2B85" w:rsidRDefault="005C2B85">
      <w:pPr>
        <w:pStyle w:val="Heading2"/>
      </w:pPr>
    </w:p>
    <w:p w:rsidR="00974811" w:rsidRDefault="00974811">
      <w:pPr>
        <w:pStyle w:val="Heading2"/>
      </w:pPr>
      <w:bookmarkStart w:id="38" w:name="_Toc501711925"/>
      <w:r>
        <w:t>Session 6G (Sussex University &amp; Nanyang Technical College, Singapore)</w:t>
      </w:r>
      <w:bookmarkEnd w:id="38"/>
    </w:p>
    <w:p w:rsidR="005C2B85" w:rsidRDefault="005C2B85" w:rsidP="005C2B85">
      <w:pPr>
        <w:rPr>
          <w:i/>
        </w:rPr>
      </w:pPr>
      <w:r>
        <w:rPr>
          <w:i/>
        </w:rPr>
        <w:t xml:space="preserve">Theme: </w:t>
      </w:r>
      <w:r w:rsidRPr="005C2B85">
        <w:rPr>
          <w:i/>
        </w:rPr>
        <w:t>Human Development &amp; Behaviour</w:t>
      </w:r>
    </w:p>
    <w:p w:rsidR="005C2B85" w:rsidRPr="00992B72" w:rsidRDefault="005C2B85" w:rsidP="005C2B85">
      <w:r w:rsidRPr="00992B72">
        <w:rPr>
          <w:b/>
          <w:noProof/>
        </w:rPr>
        <w:t>Guilia</w:t>
      </w:r>
      <w:r w:rsidRPr="00992B72">
        <w:rPr>
          <w:b/>
        </w:rPr>
        <w:t xml:space="preserve"> </w:t>
      </w:r>
      <w:r w:rsidRPr="00992B72">
        <w:rPr>
          <w:b/>
          <w:noProof/>
        </w:rPr>
        <w:t>Ravaccia</w:t>
      </w:r>
      <w:r w:rsidRPr="00992B72">
        <w:t xml:space="preserve"> (</w:t>
      </w:r>
      <w:r w:rsidRPr="00992B72">
        <w:rPr>
          <w:noProof/>
        </w:rPr>
        <w:t>Sussex University</w:t>
      </w:r>
      <w:r w:rsidRPr="00992B72">
        <w:t xml:space="preserve">, </w:t>
      </w:r>
      <w:r w:rsidRPr="00992B72">
        <w:rPr>
          <w:noProof/>
        </w:rPr>
        <w:t>UK</w:t>
      </w:r>
      <w:r>
        <w:t>)</w:t>
      </w:r>
      <w:r>
        <w:br/>
      </w:r>
      <w:r w:rsidRPr="00992B72">
        <w:rPr>
          <w:i/>
          <w:noProof/>
        </w:rPr>
        <w:t>Passive Influence of Aggressive Behaviour: Testing a new paradigm</w:t>
      </w:r>
    </w:p>
    <w:p w:rsidR="005C2B85" w:rsidRPr="005C2B85" w:rsidRDefault="005C2B85" w:rsidP="005C2B85">
      <w:pPr>
        <w:rPr>
          <w:noProof/>
          <w:sz w:val="20"/>
          <w:szCs w:val="20"/>
        </w:rPr>
      </w:pPr>
      <w:r w:rsidRPr="005C2B85">
        <w:rPr>
          <w:noProof/>
          <w:sz w:val="20"/>
          <w:szCs w:val="20"/>
        </w:rPr>
        <w:t>A prevalent explanation for the spread of aggressive behaviour is contagion theory suggesting that following ‘instigation’, involuntary influence occurs through mere exposure (Wheeler and Caggiula, 1966). However, studying aggression in a laboratory setting is difficult (Barratt, 1994) because of social desirability (O’Connor, Archer and Wu, 2001). There is a need to test contagion theory against possible alternative models of aggression spread (such as self-categorisation theory); but in order to do this, an appropriate experimental paradigm is required. The purpose of this study was therefore to pilot a new experimental paradigm to measure aggression in a controlled way, which would be useful for future research to test different theories of aggression spread.</w:t>
      </w:r>
    </w:p>
    <w:p w:rsidR="005C2B85" w:rsidRPr="005C2B85" w:rsidRDefault="005C2B85" w:rsidP="005C2B85">
      <w:pPr>
        <w:rPr>
          <w:sz w:val="20"/>
          <w:szCs w:val="20"/>
        </w:rPr>
      </w:pPr>
      <w:r w:rsidRPr="005C2B85">
        <w:rPr>
          <w:noProof/>
          <w:sz w:val="20"/>
          <w:szCs w:val="20"/>
        </w:rPr>
        <w:lastRenderedPageBreak/>
        <w:t>Participants (n = 60) were exposed to either an aggressive or neutral crowd noise. We took measures of Explicit Aggression (using a vignette) and Implicit Aggression (using an Implicit Association Test). We hypothesised that individuals exposed to an aggressive noise would score higher on both aggression measures. Additionally, we predicted that the subjective perception of the noise would meditate its effect on aggression (Krassa, 1988). Results illustrate that the type of condition did not have a significant effect. However, the perception of the aggressiveness of the noise significantly mediated the effect of type of condition on Explicit but not on Implicit Aggression. Therefore, this paradigm could aid understanding and mitigating toxic behaviours such as violence and disorder.</w:t>
      </w:r>
    </w:p>
    <w:p w:rsidR="005C2B85" w:rsidRDefault="005C2B85" w:rsidP="005C2B85">
      <w:pPr>
        <w:rPr>
          <w:i/>
        </w:rPr>
      </w:pPr>
    </w:p>
    <w:p w:rsidR="005C2B85" w:rsidRPr="00992B72" w:rsidRDefault="005C2B85" w:rsidP="005C2B85">
      <w:r w:rsidRPr="00992B72">
        <w:rPr>
          <w:b/>
          <w:noProof/>
        </w:rPr>
        <w:t>Sherin</w:t>
      </w:r>
      <w:r w:rsidRPr="00992B72">
        <w:rPr>
          <w:b/>
        </w:rPr>
        <w:t xml:space="preserve"> </w:t>
      </w:r>
      <w:r w:rsidRPr="00992B72">
        <w:rPr>
          <w:b/>
          <w:noProof/>
        </w:rPr>
        <w:t>Abdelbadiee</w:t>
      </w:r>
      <w:r w:rsidRPr="00992B72">
        <w:t xml:space="preserve"> (</w:t>
      </w:r>
      <w:r w:rsidRPr="00992B72">
        <w:rPr>
          <w:noProof/>
        </w:rPr>
        <w:t>Sussex University</w:t>
      </w:r>
      <w:r w:rsidRPr="00992B72">
        <w:t xml:space="preserve">, </w:t>
      </w:r>
      <w:r w:rsidRPr="00992B72">
        <w:rPr>
          <w:noProof/>
        </w:rPr>
        <w:t>UK</w:t>
      </w:r>
      <w:r>
        <w:t>)</w:t>
      </w:r>
      <w:r>
        <w:br/>
      </w:r>
      <w:r w:rsidRPr="00992B72">
        <w:rPr>
          <w:i/>
          <w:noProof/>
        </w:rPr>
        <w:t>Novel Interactions Between Tau and a Nucleolar Protein in the Human Brain: Alzheimer’s Disease vs. control</w:t>
      </w:r>
    </w:p>
    <w:p w:rsidR="005C2B85" w:rsidRPr="005C2B85" w:rsidRDefault="005C2B85" w:rsidP="005C2B85">
      <w:pPr>
        <w:rPr>
          <w:sz w:val="20"/>
          <w:szCs w:val="20"/>
        </w:rPr>
      </w:pPr>
      <w:r w:rsidRPr="005C2B85">
        <w:rPr>
          <w:noProof/>
          <w:sz w:val="20"/>
          <w:szCs w:val="20"/>
        </w:rPr>
        <w:t>Alzheimer’s disease (AD) is the most common cause of dementia, causing a severe socio-economic and healthcare burden. AD is characterised by the abnormal accumulations of amyloid-β plaques and intracellular neurofibrillary tangles made of tau in the brain. The tau hypothesis for AD pathogenesis is supported by a clinical correlation between tau pathology and AD pathogenesis. Tau is a microtubule-associated protein, and research efforts have focused on tau in the cytoplasm. However, tau is also localised to the nucleus where it plays a role in protecting the DNA against cellular distress. Work in our lab has identified a novel interaction between nuclear tau and a nucleolar protein involved in the regulation of ribosomal RNA biogenesis – Transcription Termination Factor I-Interacting Protein (TIP5). Our study aims to closely examine the pattern of interaction between nuclear tau and TIP5 in AD and control human brain tissue. Using immunogold labelling and electron microscopy, we studied their colocalisation in the nucleus, using human brain tissue from two stage VI AD and two control cases. We report a significant (p&lt;0.001) increase in the ratio and density of colocalisation of TIP5 with tau-1 in AD compared to age-matched control in human middle frontal gyrus tissue. We suspect that ribosomal dysfunction in AD might be attributed to the propagation of the TIP5 and nuclear tau interactions. This study suggests that the relevance of tau and TIP5 interactions deserves further investigation to uncover its implications for the pathogenesis and perhaps even therapies for Alzheimer’s disease.</w:t>
      </w:r>
    </w:p>
    <w:p w:rsidR="005C2B85" w:rsidRPr="005C2B85" w:rsidRDefault="005C2B85" w:rsidP="005C2B85">
      <w:pPr>
        <w:rPr>
          <w:i/>
        </w:rPr>
      </w:pPr>
    </w:p>
    <w:p w:rsidR="00C23D0D" w:rsidRPr="008F0D2E" w:rsidRDefault="00C23D0D" w:rsidP="00C23D0D">
      <w:pPr>
        <w:pStyle w:val="Heading1"/>
        <w:jc w:val="center"/>
      </w:pPr>
      <w:bookmarkStart w:id="39" w:name="_Toc501711926"/>
      <w:r>
        <w:t>SESSION 7</w:t>
      </w:r>
      <w:bookmarkEnd w:id="39"/>
      <w:r>
        <w:br/>
      </w:r>
    </w:p>
    <w:p w:rsidR="006564AB" w:rsidRPr="008F0D2E" w:rsidRDefault="006564AB" w:rsidP="00C23D0D">
      <w:pPr>
        <w:pStyle w:val="Heading2"/>
      </w:pPr>
      <w:bookmarkStart w:id="40" w:name="_Toc501711927"/>
      <w:r w:rsidRPr="008F0D2E">
        <w:t xml:space="preserve">Session 7A (Warwick </w:t>
      </w:r>
      <w:r w:rsidR="00D80AA1">
        <w:t xml:space="preserve">University, UK </w:t>
      </w:r>
      <w:r w:rsidRPr="008F0D2E">
        <w:t xml:space="preserve">&amp; </w:t>
      </w:r>
      <w:r w:rsidR="00D80AA1">
        <w:t xml:space="preserve">Monash University, </w:t>
      </w:r>
      <w:r w:rsidRPr="008F0D2E">
        <w:t>South Africa)</w:t>
      </w:r>
      <w:bookmarkEnd w:id="40"/>
      <w:r w:rsidRPr="008F0D2E">
        <w:t xml:space="preserve"> </w:t>
      </w:r>
    </w:p>
    <w:p w:rsidR="006564AB" w:rsidRPr="00C23D0D" w:rsidRDefault="00D80AA1" w:rsidP="00DD7B70">
      <w:pPr>
        <w:rPr>
          <w:rStyle w:val="SubtleEmphasis"/>
        </w:rPr>
      </w:pPr>
      <w:r w:rsidRPr="00C23D0D">
        <w:rPr>
          <w:rStyle w:val="SubtleEmphasis"/>
        </w:rPr>
        <w:t xml:space="preserve">Theme: </w:t>
      </w:r>
      <w:r w:rsidR="005C2B85" w:rsidRPr="005C2B85">
        <w:rPr>
          <w:rStyle w:val="SubtleEmphasis"/>
        </w:rPr>
        <w:t>Culture, Work and the Law</w:t>
      </w:r>
    </w:p>
    <w:p w:rsidR="00C23D0D" w:rsidRDefault="00C23D0D" w:rsidP="00DD7B70">
      <w:pPr>
        <w:rPr>
          <w:b/>
        </w:rPr>
      </w:pPr>
    </w:p>
    <w:p w:rsidR="005C2B85" w:rsidRPr="00992B72" w:rsidRDefault="005C2B85" w:rsidP="005C2B85">
      <w:r w:rsidRPr="00992B72">
        <w:rPr>
          <w:b/>
          <w:noProof/>
        </w:rPr>
        <w:t>Navina</w:t>
      </w:r>
      <w:r w:rsidRPr="00992B72">
        <w:rPr>
          <w:b/>
        </w:rPr>
        <w:t xml:space="preserve"> </w:t>
      </w:r>
      <w:r w:rsidRPr="00992B72">
        <w:rPr>
          <w:b/>
          <w:noProof/>
        </w:rPr>
        <w:t>Rajan</w:t>
      </w:r>
      <w:r w:rsidRPr="00992B72">
        <w:t xml:space="preserve"> (</w:t>
      </w:r>
      <w:r w:rsidRPr="00992B72">
        <w:rPr>
          <w:noProof/>
        </w:rPr>
        <w:t>University of Warwick</w:t>
      </w:r>
      <w:r w:rsidRPr="00992B72">
        <w:t xml:space="preserve">, </w:t>
      </w:r>
      <w:r w:rsidRPr="00992B72">
        <w:rPr>
          <w:noProof/>
        </w:rPr>
        <w:t>UK</w:t>
      </w:r>
      <w:r>
        <w:t xml:space="preserve">) </w:t>
      </w:r>
      <w:r>
        <w:br/>
      </w:r>
      <w:r w:rsidRPr="00992B72">
        <w:rPr>
          <w:i/>
          <w:noProof/>
        </w:rPr>
        <w:t>The Wages of Sin: Cross-country evidence on the impact of religiosity on sin stock returns</w:t>
      </w:r>
    </w:p>
    <w:p w:rsidR="005C2B85" w:rsidRPr="005C2B85" w:rsidRDefault="005C2B85" w:rsidP="005C2B85">
      <w:pPr>
        <w:rPr>
          <w:noProof/>
          <w:sz w:val="20"/>
          <w:szCs w:val="20"/>
        </w:rPr>
      </w:pPr>
      <w:r w:rsidRPr="005C2B85">
        <w:rPr>
          <w:noProof/>
          <w:sz w:val="20"/>
          <w:szCs w:val="20"/>
        </w:rPr>
        <w:t>This research studies the impact of social norms and specifically religious attitudes on the stock returns of ‘sin firms’ – companies that produce products that are conventionally deemed sinful by investors. I expect more religious countries to have a lower approval of ‘sin’ and sinful industries, resulting in higher societal sin aversion. Therefore, lower demand for sin stocks in these countries depresses prices, evoking higher returns. Abstaining from investment forgoes these abnormal returns. Findings may suggest whether religious factors are worth considering for investors to utilise possible arbitrage opportunities.</w:t>
      </w:r>
    </w:p>
    <w:p w:rsidR="005C2B85" w:rsidRPr="005C2B85" w:rsidRDefault="005C2B85" w:rsidP="005C2B85">
      <w:pPr>
        <w:rPr>
          <w:noProof/>
          <w:sz w:val="20"/>
          <w:szCs w:val="20"/>
        </w:rPr>
      </w:pPr>
      <w:r w:rsidRPr="005C2B85">
        <w:rPr>
          <w:noProof/>
          <w:sz w:val="20"/>
          <w:szCs w:val="20"/>
        </w:rPr>
        <w:t xml:space="preserve">I constructed a panel dataset of 11,245 companies, across eight countries in Asia and Europe, from 2005–2014. A country-specific religiosity index was also constructed, studying its impact on the net returns of gambling, </w:t>
      </w:r>
      <w:r w:rsidRPr="005C2B85">
        <w:rPr>
          <w:noProof/>
          <w:sz w:val="20"/>
          <w:szCs w:val="20"/>
        </w:rPr>
        <w:lastRenderedPageBreak/>
        <w:t>tobacco and alcohol companies. Regression analysis finds no evidence of a sin premium (higher return of sin versus non-sin stocks) was found, consistent with literature outside America. Moreover, sin investors are found to incur a penalty in irreligious environments. However, the net return of sin stocks relative to the wider stock universe increases as the level of religiosity goes up. This was considered as evidence in support of the neglected-firm and sin-aversion hypotheses. A positive religiosity effect on general stock returns is also found significant, with more religious countries incurring higher returns.</w:t>
      </w:r>
    </w:p>
    <w:p w:rsidR="005C2B85" w:rsidRPr="005C2B85" w:rsidRDefault="005C2B85" w:rsidP="005C2B85">
      <w:pPr>
        <w:rPr>
          <w:sz w:val="20"/>
          <w:szCs w:val="20"/>
        </w:rPr>
      </w:pPr>
      <w:r w:rsidRPr="005C2B85">
        <w:rPr>
          <w:noProof/>
          <w:sz w:val="20"/>
          <w:szCs w:val="20"/>
        </w:rPr>
        <w:t>Previous studies focus on Western stock markets. With Asian markets constituting 33.3% of global capitalisation, their inclusion is pertinent. Religion-specific studies assume more sin averse faiths are more religious, which may not hold. Therefore, using religiosity overcomes this. However, this is something that has not been studied.</w:t>
      </w:r>
    </w:p>
    <w:p w:rsidR="005C2B85" w:rsidRDefault="005C2B85" w:rsidP="00DD7B70">
      <w:pPr>
        <w:rPr>
          <w:b/>
        </w:rPr>
      </w:pPr>
    </w:p>
    <w:p w:rsidR="005C2B85" w:rsidRPr="005C2B85" w:rsidRDefault="005C2B85" w:rsidP="005C2B85">
      <w:r w:rsidRPr="00992B72">
        <w:rPr>
          <w:b/>
          <w:noProof/>
        </w:rPr>
        <w:t>Divij</w:t>
      </w:r>
      <w:r w:rsidRPr="00992B72">
        <w:rPr>
          <w:b/>
        </w:rPr>
        <w:t xml:space="preserve"> </w:t>
      </w:r>
      <w:r w:rsidRPr="00992B72">
        <w:rPr>
          <w:b/>
          <w:noProof/>
        </w:rPr>
        <w:t>Lamba</w:t>
      </w:r>
      <w:r w:rsidRPr="00992B72">
        <w:t xml:space="preserve"> (</w:t>
      </w:r>
      <w:r w:rsidRPr="00992B72">
        <w:rPr>
          <w:noProof/>
        </w:rPr>
        <w:t>University of Warwick</w:t>
      </w:r>
      <w:r w:rsidRPr="00992B72">
        <w:t xml:space="preserve">, </w:t>
      </w:r>
      <w:r w:rsidRPr="00992B72">
        <w:rPr>
          <w:noProof/>
        </w:rPr>
        <w:t>UK</w:t>
      </w:r>
      <w:r>
        <w:t>)</w:t>
      </w:r>
      <w:r>
        <w:br/>
      </w:r>
      <w:r w:rsidRPr="005C2B85">
        <w:rPr>
          <w:i/>
          <w:noProof/>
          <w:sz w:val="20"/>
          <w:szCs w:val="20"/>
        </w:rPr>
        <w:t>Does Smoking Damage your Career? – The effect of cigarette smoking on wages</w:t>
      </w:r>
    </w:p>
    <w:p w:rsidR="005C2B85" w:rsidRPr="005C2B85" w:rsidRDefault="005C2B85" w:rsidP="005C2B85">
      <w:pPr>
        <w:rPr>
          <w:noProof/>
          <w:sz w:val="20"/>
          <w:szCs w:val="20"/>
        </w:rPr>
      </w:pPr>
      <w:r w:rsidRPr="005C2B85">
        <w:rPr>
          <w:noProof/>
          <w:sz w:val="20"/>
          <w:szCs w:val="20"/>
        </w:rPr>
        <w:t>Cigarette smoking is an important issue for consideration across the world, and governments spend a significant proportion of their resources to reduce smoking. Smoking has detrimental effects on the health of an individual, causing, among other things, cardiovascular and respiratory problems. Grossman (1972) found a positive relationship between health and earnings. Considering this, coupled with the evidence shown by medical literature regarding ill-effects of smoking, it seems interesting to investigate how smoking affects labour market outcomes.</w:t>
      </w:r>
    </w:p>
    <w:p w:rsidR="005C2B85" w:rsidRPr="005C2B85" w:rsidRDefault="005C2B85" w:rsidP="005C2B85">
      <w:pPr>
        <w:rPr>
          <w:noProof/>
          <w:sz w:val="20"/>
          <w:szCs w:val="20"/>
        </w:rPr>
      </w:pPr>
      <w:r w:rsidRPr="005C2B85">
        <w:rPr>
          <w:noProof/>
          <w:sz w:val="20"/>
          <w:szCs w:val="20"/>
        </w:rPr>
        <w:t>In recent times, limited literature has been published on this topic, especially in the UK. This study takes into account the effect of new anti-smoking laws. Studies such as Van Ours (2004) found ‘bad’ instruments that led to implausibly high estimates. This paper successfully tackles endogeneity by finding relevant and exogenous instruments. The direction of the endogeneity bias in previous researches is not consistent (Auld, 2005; Neumann, 2013). This research provides an explanation for the direction of the bias and instruments used to overcome lacunae in previous literature.</w:t>
      </w:r>
    </w:p>
    <w:p w:rsidR="005C2B85" w:rsidRPr="005C2B85" w:rsidRDefault="005C2B85" w:rsidP="005C2B85">
      <w:pPr>
        <w:rPr>
          <w:noProof/>
          <w:sz w:val="20"/>
          <w:szCs w:val="20"/>
        </w:rPr>
      </w:pPr>
      <w:r w:rsidRPr="005C2B85">
        <w:rPr>
          <w:noProof/>
          <w:sz w:val="20"/>
          <w:szCs w:val="20"/>
        </w:rPr>
        <w:t>This study investigates the effect of smoking on wages in the UK using the ‘General Household Survey, 2006’ after imposing certain restrictions for a more accurate analysis. Using OLS estimation, we found a wage penalty associated with smoking of 5.4%. This paper showed that a very small proportion of this effect is through health and it is either because of reduced productivity due to smoking breaks or high rate of time preference leading to less investment in human capital. Further, we found a wage differential due to smoking across different occupational class. . Lastly, IV estimates showed the actual wage penalty of 7.6%.</w:t>
      </w:r>
    </w:p>
    <w:p w:rsidR="005C2B85" w:rsidRPr="005C2B85" w:rsidRDefault="005C2B85" w:rsidP="005C2B85">
      <w:pPr>
        <w:rPr>
          <w:sz w:val="20"/>
          <w:szCs w:val="20"/>
        </w:rPr>
      </w:pPr>
      <w:r w:rsidRPr="005C2B85">
        <w:rPr>
          <w:noProof/>
          <w:sz w:val="20"/>
          <w:szCs w:val="20"/>
        </w:rPr>
        <w:t>The results of this study suggest a significant negative relationship between smoking and wages. This has important policy implications as governments can increase the awareness of people regarding wage consequences of smoking and target segments of labour market that are more prone to it.</w:t>
      </w:r>
    </w:p>
    <w:p w:rsidR="005C2B85" w:rsidRPr="00992B72" w:rsidRDefault="005C2B85" w:rsidP="005C2B85"/>
    <w:p w:rsidR="005C2B85" w:rsidRPr="00992B72" w:rsidRDefault="005C2B85" w:rsidP="005C2B85">
      <w:r w:rsidRPr="00992B72">
        <w:rPr>
          <w:b/>
          <w:noProof/>
        </w:rPr>
        <w:t>Jessica-Ann</w:t>
      </w:r>
      <w:r w:rsidRPr="00992B72">
        <w:rPr>
          <w:b/>
        </w:rPr>
        <w:t xml:space="preserve"> </w:t>
      </w:r>
      <w:r w:rsidRPr="00992B72">
        <w:rPr>
          <w:b/>
          <w:noProof/>
        </w:rPr>
        <w:t>Gallacher</w:t>
      </w:r>
      <w:r w:rsidRPr="00992B72">
        <w:t xml:space="preserve"> (</w:t>
      </w:r>
      <w:r w:rsidRPr="00992B72">
        <w:rPr>
          <w:noProof/>
        </w:rPr>
        <w:t>Monash University</w:t>
      </w:r>
      <w:r w:rsidRPr="00992B72">
        <w:t xml:space="preserve">, </w:t>
      </w:r>
      <w:r w:rsidRPr="00992B72">
        <w:rPr>
          <w:noProof/>
        </w:rPr>
        <w:t>South Africa</w:t>
      </w:r>
      <w:r>
        <w:t>)</w:t>
      </w:r>
      <w:r>
        <w:br/>
      </w:r>
      <w:r w:rsidRPr="00992B72">
        <w:rPr>
          <w:i/>
          <w:noProof/>
        </w:rPr>
        <w:t>The Exploitative Reality of Female Migrant Domestic Workers in Hong Kong and South Africa</w:t>
      </w:r>
    </w:p>
    <w:p w:rsidR="005C2B85" w:rsidRPr="005C2B85" w:rsidRDefault="005C2B85" w:rsidP="005C2B85">
      <w:pPr>
        <w:rPr>
          <w:sz w:val="20"/>
          <w:szCs w:val="20"/>
        </w:rPr>
      </w:pPr>
      <w:r w:rsidRPr="005C2B85">
        <w:rPr>
          <w:noProof/>
          <w:sz w:val="20"/>
          <w:szCs w:val="20"/>
        </w:rPr>
        <w:t xml:space="preserve">Half of the world’s migrants are female, accounting for 95 million women. Economic improvement is the main reason for female migration, where women who are uneducated and lack resources are left with no choice but to enter the unskilled labour sector, often becoming ‘maids’ in richer countries. The aim of this paper is to examine female migration – specifically in the context of female migrant domestic workers – and whether the feminisation of migration provides these women with greater empowerment. This paper conducts a literature review to analyse cases of migrant domestic workers in Hong Kong and South Africa, including why females migrate to these areas, the governmental legislation in place to protect these workers, and the specific forms of exploitation that domestic workers encounter in these areas. Due to the private nature of domestic work, and the host countries policies, these women are often subjected to exploitation, oppression and abuse. Key </w:t>
      </w:r>
      <w:r w:rsidRPr="005C2B85">
        <w:rPr>
          <w:noProof/>
          <w:sz w:val="20"/>
          <w:szCs w:val="20"/>
        </w:rPr>
        <w:lastRenderedPageBreak/>
        <w:t>findings reveal that domestic work occurs outside of the public eye and, as a result, legislation is difficult to monitor and implement. Furthermore, due to inadequate rights and the entrenched power status between employer and employee, these women are often abused financially, emotionally and physically. Specifically in the context of South Africa, these migrants are often subjected to xenophobia. Domestics in Hong Kong, however, are often financially abused and are required by law to live in the employers’ home, removing their freedom to move. The overarching conclusion is that female domestic migrants are often exploited rather than empowered.</w:t>
      </w:r>
    </w:p>
    <w:p w:rsidR="005C2B85" w:rsidRDefault="005C2B85" w:rsidP="00DD7B70">
      <w:pPr>
        <w:rPr>
          <w:b/>
        </w:rPr>
      </w:pPr>
    </w:p>
    <w:p w:rsidR="005C2B85" w:rsidRPr="00992B72" w:rsidRDefault="005C2B85" w:rsidP="005C2B85">
      <w:r w:rsidRPr="00992B72">
        <w:rPr>
          <w:b/>
          <w:noProof/>
        </w:rPr>
        <w:t>Molly</w:t>
      </w:r>
      <w:r w:rsidRPr="00992B72">
        <w:rPr>
          <w:b/>
        </w:rPr>
        <w:t xml:space="preserve"> </w:t>
      </w:r>
      <w:r w:rsidRPr="00992B72">
        <w:rPr>
          <w:b/>
          <w:noProof/>
        </w:rPr>
        <w:t>Beddow</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A Critical Discussion of the Law Pertaining to Surrogacy and Assisted Reproductive Technologies</w:t>
      </w:r>
    </w:p>
    <w:p w:rsidR="005C2B85" w:rsidRPr="005C2B85" w:rsidRDefault="005C2B85" w:rsidP="005C2B85">
      <w:pPr>
        <w:rPr>
          <w:noProof/>
          <w:sz w:val="20"/>
          <w:szCs w:val="20"/>
        </w:rPr>
      </w:pPr>
      <w:r w:rsidRPr="005C2B85">
        <w:rPr>
          <w:noProof/>
          <w:sz w:val="20"/>
          <w:szCs w:val="20"/>
        </w:rPr>
        <w:t>Despite surrogacy and assisted reproductive technologies (ARTs) forming a large part of reproductive medicine, the law is both underdeveloped and out of line with social opinion. This is particularly obvious with regard to couples who deviate from the societal norm (such as couples of low socio-economic status and same-sex couples). This paper builds upon the theories of Foucault and Spivak in terms of epistemic violence, as well as research papers on same-sex parenting and the effects of surrogacy on family dynamics by Van Gelderen, Spar and Sandel, respectively. This dissertation provides a modern perspective on the issue, taking account of developments such as the legalisation same-sex marriage, in a way other research in the area does not.</w:t>
      </w:r>
    </w:p>
    <w:p w:rsidR="005C2B85" w:rsidRPr="005C2B85" w:rsidRDefault="005C2B85" w:rsidP="005C2B85">
      <w:pPr>
        <w:rPr>
          <w:noProof/>
          <w:sz w:val="20"/>
          <w:szCs w:val="20"/>
        </w:rPr>
      </w:pPr>
      <w:r w:rsidRPr="005C2B85">
        <w:rPr>
          <w:noProof/>
          <w:sz w:val="20"/>
          <w:szCs w:val="20"/>
        </w:rPr>
        <w:t>Additionally, this dissertation exposes gaps in the current law through close analysis of the legislation, concluding that the law not only ineffectively manages surrogacy and assisted reproduction, but is also unnecessarily complex and makes needless distinctions based on sexual orientation and class. This conclusion challenges the legal concept of equality and seeks to bring the law into line with public opinion – which has changed considerably since the introduction of the legislation in the late twentieth century.</w:t>
      </w:r>
    </w:p>
    <w:p w:rsidR="005C2B85" w:rsidRPr="005C2B85" w:rsidRDefault="005C2B85" w:rsidP="005C2B85">
      <w:pPr>
        <w:rPr>
          <w:sz w:val="20"/>
          <w:szCs w:val="20"/>
        </w:rPr>
      </w:pPr>
      <w:r w:rsidRPr="005C2B85">
        <w:rPr>
          <w:noProof/>
          <w:sz w:val="20"/>
          <w:szCs w:val="20"/>
        </w:rPr>
        <w:t>This dissertation, therefore, advocates for both legislative reforms (such as adopting an inclusive, standardised framework of eligibility criteria for ARTs and managing surrogacy through licensed fertility clinics) and wider systemic changes. These include reforms to sex education and improving diversity in the law-making process to lessen the disadvantage levied upon intersectional couples in the context of reproductive medicine.</w:t>
      </w:r>
    </w:p>
    <w:p w:rsidR="003F4297" w:rsidRPr="008F0D2E" w:rsidRDefault="003F4297" w:rsidP="00DD7B70">
      <w:pPr>
        <w:rPr>
          <w:b/>
        </w:rPr>
      </w:pPr>
    </w:p>
    <w:p w:rsidR="004735DC" w:rsidRDefault="004735DC">
      <w:pPr>
        <w:pStyle w:val="Heading2"/>
        <w:rPr>
          <w:b/>
        </w:rPr>
      </w:pPr>
      <w:bookmarkStart w:id="41" w:name="_Toc501711928"/>
      <w:r>
        <w:t>Session 7B (</w:t>
      </w:r>
      <w:r w:rsidRPr="00C23D0D">
        <w:rPr>
          <w:rStyle w:val="Heading2Char"/>
        </w:rPr>
        <w:t>Warwick University, UK &amp; Nanyang Technological University, Singapore)</w:t>
      </w:r>
      <w:bookmarkEnd w:id="41"/>
      <w:r>
        <w:rPr>
          <w:b/>
        </w:rPr>
        <w:t xml:space="preserve"> </w:t>
      </w:r>
    </w:p>
    <w:p w:rsidR="004735DC" w:rsidRDefault="004735DC" w:rsidP="004735DC">
      <w:pPr>
        <w:rPr>
          <w:rStyle w:val="SubtleEmphasis"/>
        </w:rPr>
      </w:pPr>
      <w:r>
        <w:rPr>
          <w:i/>
        </w:rPr>
        <w:t xml:space="preserve">Theme: </w:t>
      </w:r>
      <w:r w:rsidRPr="005C2B85">
        <w:rPr>
          <w:rStyle w:val="SubtleEmphasis"/>
        </w:rPr>
        <w:t>Technology and the Future</w:t>
      </w:r>
    </w:p>
    <w:p w:rsidR="004735DC" w:rsidRPr="004735DC" w:rsidRDefault="004735DC" w:rsidP="004735DC">
      <w:pPr>
        <w:rPr>
          <w:i/>
        </w:rPr>
      </w:pPr>
    </w:p>
    <w:p w:rsidR="004735DC" w:rsidRPr="00992B72" w:rsidRDefault="004735DC" w:rsidP="004735DC">
      <w:r w:rsidRPr="00992B72">
        <w:rPr>
          <w:b/>
          <w:noProof/>
        </w:rPr>
        <w:t>Adila</w:t>
      </w:r>
      <w:r w:rsidRPr="00992B72">
        <w:rPr>
          <w:b/>
        </w:rPr>
        <w:t xml:space="preserve"> </w:t>
      </w:r>
      <w:r w:rsidRPr="00992B72">
        <w:rPr>
          <w:b/>
          <w:noProof/>
        </w:rPr>
        <w:t>Dyah</w:t>
      </w:r>
      <w:r w:rsidRPr="00992B72">
        <w:t xml:space="preserve"> (</w:t>
      </w:r>
      <w:r w:rsidRPr="00992B72">
        <w:rPr>
          <w:noProof/>
        </w:rPr>
        <w:t>Nanyang Technological University (NTU)</w:t>
      </w:r>
      <w:r w:rsidRPr="00992B72">
        <w:t xml:space="preserve">, </w:t>
      </w:r>
      <w:r w:rsidRPr="00992B72">
        <w:rPr>
          <w:noProof/>
        </w:rPr>
        <w:t>Singapore</w:t>
      </w:r>
      <w:r w:rsidRPr="00992B72">
        <w:t>)</w:t>
      </w:r>
      <w:r>
        <w:br/>
      </w:r>
      <w:r w:rsidRPr="00992B72">
        <w:rPr>
          <w:i/>
          <w:noProof/>
        </w:rPr>
        <w:t>Design and Development of a Web-based Activity Planner for NTU Students</w:t>
      </w:r>
    </w:p>
    <w:p w:rsidR="004735DC" w:rsidRPr="004735DC" w:rsidRDefault="004735DC" w:rsidP="004735DC">
      <w:pPr>
        <w:rPr>
          <w:sz w:val="20"/>
          <w:szCs w:val="20"/>
        </w:rPr>
      </w:pPr>
      <w:r w:rsidRPr="004735DC">
        <w:rPr>
          <w:noProof/>
          <w:sz w:val="20"/>
          <w:szCs w:val="20"/>
        </w:rPr>
        <w:t>As our lives get busier, it is hard to keep track of one’s tasks and activities as well as how and when to complete them. Therefore, there is a need for some sort of helper in the form of an activity planner to help people, especially students, to keep track of their daily activities and tasks. This project pertains to phase one of the development process of an intelligent planner, developed for NTU Student Wellbeing Centre.. In this phase, the purpose of the project is to develop a web-based activity planner in which the user can manually input information regarding certain tasks or activities, and the system will output them in the user interface in a time-sorted manner. It is also equipped with many other useful features such as a notification feature, a mark task as done feature, integration with NTU timeline, drag and drop function, etc. The application is written in HTML, CSS, JavaScript and PHP, and AngularJS is chosen as the JavaScript framework to write the front-end code of the application. The database chosen to store application data is MySQL.</w:t>
      </w:r>
    </w:p>
    <w:p w:rsidR="004735DC" w:rsidRDefault="004735DC" w:rsidP="004735DC">
      <w:pPr>
        <w:rPr>
          <w:sz w:val="20"/>
        </w:rPr>
      </w:pPr>
    </w:p>
    <w:p w:rsidR="004735DC" w:rsidRPr="00992B72" w:rsidRDefault="004735DC" w:rsidP="004735DC">
      <w:r w:rsidRPr="00992B72">
        <w:rPr>
          <w:b/>
          <w:noProof/>
        </w:rPr>
        <w:lastRenderedPageBreak/>
        <w:t>Malgorzata</w:t>
      </w:r>
      <w:r w:rsidRPr="00992B72">
        <w:rPr>
          <w:b/>
        </w:rPr>
        <w:t xml:space="preserve"> </w:t>
      </w:r>
      <w:r w:rsidRPr="00992B72">
        <w:rPr>
          <w:b/>
          <w:noProof/>
        </w:rPr>
        <w:t>Wojtala</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State-of-Charge Indication for an Electric Vehicle Battery Pack – Battery Management System Modelling and Evaluation</w:t>
      </w:r>
    </w:p>
    <w:p w:rsidR="004735DC" w:rsidRPr="004735DC" w:rsidRDefault="004735DC" w:rsidP="004735DC">
      <w:pPr>
        <w:rPr>
          <w:noProof/>
          <w:sz w:val="20"/>
          <w:szCs w:val="20"/>
        </w:rPr>
      </w:pPr>
      <w:r w:rsidRPr="004735DC">
        <w:rPr>
          <w:noProof/>
          <w:sz w:val="20"/>
          <w:szCs w:val="20"/>
        </w:rPr>
        <w:t>Growing concern over the environmental damage caused by hydrocarbon-fuelled vehicles has encouraged and accelerated the development of electric alternatives. Despite the increased availability of electric vehicles (EVs) on the market, energy storage and management systems remain a topic of substantial research. This study aims to assist with the provision of current information about the driving range of an EV through an accurate and computationally efficient estimation of the remaining energy, or State-of-Charge (SoC) of the battery pack.</w:t>
      </w:r>
    </w:p>
    <w:p w:rsidR="004735DC" w:rsidRPr="004735DC" w:rsidRDefault="004735DC" w:rsidP="004735DC">
      <w:pPr>
        <w:rPr>
          <w:noProof/>
          <w:sz w:val="20"/>
          <w:szCs w:val="20"/>
        </w:rPr>
      </w:pPr>
      <w:r w:rsidRPr="004735DC">
        <w:rPr>
          <w:noProof/>
          <w:sz w:val="20"/>
          <w:szCs w:val="20"/>
        </w:rPr>
        <w:t>Due to the large number of batteries assembled in a pack, the proposed method involved parametrisation of a battery pack composed of six cells as one Equivalent Circuit Model (ECM). A state-estimator, known as the Extended Kalman Filter (EKF), and an alternative version for adaptive noise tuning (B-AEKF) were employed to estimate the battery pack SoC. The accuracy of the pack (8% RMSE) was compared against the single cell (5% RMSE) model to verify the effectiveness of the proposed methodology.</w:t>
      </w:r>
    </w:p>
    <w:p w:rsidR="004735DC" w:rsidRPr="004735DC" w:rsidRDefault="004735DC" w:rsidP="004735DC">
      <w:pPr>
        <w:rPr>
          <w:sz w:val="20"/>
          <w:szCs w:val="20"/>
        </w:rPr>
      </w:pPr>
      <w:r w:rsidRPr="004735DC">
        <w:rPr>
          <w:noProof/>
          <w:sz w:val="20"/>
          <w:szCs w:val="20"/>
        </w:rPr>
        <w:t>Less accurate SoC prediction of the pack EKF suggests that the estimator suffers from initial cell imbalance and an inaccurate pack ECM parametrisation. Therefore, in the EV’s application, it may be more beneficial to use a cell-level-EKF on parallel strings of the battery pack to maintain higher SoC accuracy and therefore the driving range. Due to the dynamic operating conditions of an EV, application of the B-AEKF is preferred. Further research could focus on the estimate accuracy improvement via application of the higher-order ECM and an Unscented Kalman Filter.</w:t>
      </w:r>
    </w:p>
    <w:p w:rsidR="004735DC" w:rsidRDefault="004735DC" w:rsidP="004735DC">
      <w:pPr>
        <w:rPr>
          <w:sz w:val="20"/>
        </w:rPr>
      </w:pPr>
    </w:p>
    <w:p w:rsidR="004735DC" w:rsidRPr="00992B72" w:rsidRDefault="004735DC" w:rsidP="004735DC">
      <w:r w:rsidRPr="00992B72">
        <w:rPr>
          <w:b/>
          <w:noProof/>
        </w:rPr>
        <w:t>Mohamed Tahar</w:t>
      </w:r>
      <w:r w:rsidRPr="00992B72">
        <w:rPr>
          <w:b/>
        </w:rPr>
        <w:t xml:space="preserve"> </w:t>
      </w:r>
      <w:r w:rsidRPr="00992B72">
        <w:rPr>
          <w:b/>
          <w:noProof/>
        </w:rPr>
        <w:t>Fettah</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The Rise of the Robots: The effects of Robotics Process Automation on the Business Process Outsourcing Industry</w:t>
      </w:r>
    </w:p>
    <w:p w:rsidR="004735DC" w:rsidRPr="004735DC" w:rsidRDefault="004735DC" w:rsidP="004735DC">
      <w:pPr>
        <w:rPr>
          <w:noProof/>
          <w:sz w:val="20"/>
          <w:szCs w:val="20"/>
        </w:rPr>
      </w:pPr>
      <w:r w:rsidRPr="004735DC">
        <w:rPr>
          <w:noProof/>
          <w:sz w:val="20"/>
          <w:szCs w:val="20"/>
        </w:rPr>
        <w:t>While fundraising is seen to be the core function of most charities, little attention is given to the back-office operations. The inability to make proper use of resources would mean a failure in their moral responsibility, ultimately providing insufficient aid to those in need. Since investing in IT Systems has become a norm for large charities, my research explores how Robotics Process Automation (RPA) can be used in conjunction with existing IT Systems to increase the productivity of back-office processes.</w:t>
      </w:r>
    </w:p>
    <w:p w:rsidR="004735DC" w:rsidRPr="004735DC" w:rsidRDefault="004735DC" w:rsidP="004735DC">
      <w:pPr>
        <w:rPr>
          <w:noProof/>
          <w:sz w:val="20"/>
          <w:szCs w:val="20"/>
        </w:rPr>
      </w:pPr>
      <w:r w:rsidRPr="004735DC">
        <w:rPr>
          <w:noProof/>
          <w:sz w:val="20"/>
          <w:szCs w:val="20"/>
        </w:rPr>
        <w:t>Businesses must adapt to survive, meaning IT Systems implemented years ago usually will not accommodate all the processes that occur today. Current literature such as ‘Managing the full ERP life-cycle’ suggest investing in updated systems and management services as solutions; however, these costly ideas are not ideal for the non-profit sector, which suffers from a lack of capital. Therefore, my research aims to be tailored to such sector, given their unique position. Using case studies such as ‘RPA at Telefonica O2’ and ‘A New Approach to Automating Services’ my research will demonstrate how service speed, cost, convenience and ultimately productivity are achievable with this adoption.</w:t>
      </w:r>
    </w:p>
    <w:p w:rsidR="004735DC" w:rsidRPr="004735DC" w:rsidRDefault="004735DC" w:rsidP="004735DC">
      <w:pPr>
        <w:rPr>
          <w:sz w:val="20"/>
          <w:szCs w:val="20"/>
        </w:rPr>
      </w:pPr>
      <w:r w:rsidRPr="004735DC">
        <w:rPr>
          <w:noProof/>
          <w:sz w:val="20"/>
          <w:szCs w:val="20"/>
        </w:rPr>
        <w:t>This case-study research will highlight the inefficient processes via interviews and work-shadowing. We can then comprehend how RPA can fit in, based on previous case studies and personal experience, and be used as a method to improve process performance. Finally, we’ll build demos and use financial analysis to assess the feasibility of implementing RPA; if successful, this is a practice that can be taught sector-wide given the limited resources needed.</w:t>
      </w:r>
    </w:p>
    <w:p w:rsidR="004735DC" w:rsidRDefault="004735DC" w:rsidP="004735DC">
      <w:pPr>
        <w:rPr>
          <w:sz w:val="20"/>
        </w:rPr>
      </w:pPr>
    </w:p>
    <w:p w:rsidR="004735DC" w:rsidRPr="00992B72" w:rsidRDefault="004735DC" w:rsidP="004735DC">
      <w:r w:rsidRPr="00992B72">
        <w:rPr>
          <w:b/>
          <w:noProof/>
        </w:rPr>
        <w:t>Meissane</w:t>
      </w:r>
      <w:r w:rsidRPr="00992B72">
        <w:rPr>
          <w:b/>
        </w:rPr>
        <w:t xml:space="preserve"> </w:t>
      </w:r>
      <w:r w:rsidRPr="00992B72">
        <w:rPr>
          <w:b/>
          <w:noProof/>
        </w:rPr>
        <w:t>Chami</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Comparison of Machine-Learning Algorithms for Classification Analysis, with Application to Chronic Kidney Disease</w:t>
      </w:r>
    </w:p>
    <w:p w:rsidR="004735DC" w:rsidRPr="004735DC" w:rsidRDefault="004735DC" w:rsidP="004735DC">
      <w:pPr>
        <w:rPr>
          <w:noProof/>
          <w:sz w:val="20"/>
          <w:szCs w:val="20"/>
        </w:rPr>
      </w:pPr>
      <w:r w:rsidRPr="004735DC">
        <w:rPr>
          <w:noProof/>
          <w:sz w:val="20"/>
          <w:szCs w:val="20"/>
        </w:rPr>
        <w:lastRenderedPageBreak/>
        <w:t>Chronic Kidney Disease (CKD) corresponding to a progressive loss in kidney functions is a worldwide public health issue which can lead to kidney failure. On that account, it is crucial to detect any potential renal problems at an early stage. Machine learning (ML) is a method of automated model building that is widely applied in biomedical engineering. Such models often require tremendous amount of training; however, the small nature of biomedical data induces sporadic effects on model performances. This work bridges this gap by following a framework comparing models suited for small data in classification of CKD datasets. Consistent model comparisons were primarily developed applying the multiple runs and the surrogate data approach on Random Forests (RF), Decision Trees (DT), Support Vector Machines (SVM) and Naïve Bayes (NB). Then, a trade-off was formulated between the number of features and samples for DT while assessing its robustness accounting for random effects due to small data.</w:t>
      </w:r>
    </w:p>
    <w:p w:rsidR="004735DC" w:rsidRPr="004735DC" w:rsidRDefault="004735DC" w:rsidP="004735DC">
      <w:pPr>
        <w:rPr>
          <w:sz w:val="20"/>
          <w:szCs w:val="20"/>
        </w:rPr>
      </w:pPr>
      <w:r w:rsidRPr="004735DC">
        <w:rPr>
          <w:noProof/>
          <w:sz w:val="20"/>
          <w:szCs w:val="20"/>
        </w:rPr>
        <w:t>Experiments allowed to define RF along with SVM as best classifier achieving an accuracy of 98.9% on the complete dataset. However, SVM performed poorly on smaller datasets whereas less sophisticated models such as NB and DT achieved substantially better accuracies. The DT model developed from small data was able to be successful in determining the minimal set of parameters that define Chronic Kidney Disease. The work has limitations as it is specific to a given dataset that belongs to one medical centre. An expansion of such analysis to other centres could benefit further model development.</w:t>
      </w:r>
    </w:p>
    <w:p w:rsidR="004735DC" w:rsidRPr="004735DC" w:rsidRDefault="004735DC" w:rsidP="004735DC"/>
    <w:p w:rsidR="006564AB" w:rsidRPr="008F0D2E" w:rsidRDefault="006564AB" w:rsidP="00C23D0D">
      <w:pPr>
        <w:pStyle w:val="Heading2"/>
      </w:pPr>
      <w:bookmarkStart w:id="42" w:name="_Toc501711929"/>
      <w:r w:rsidRPr="008F0D2E">
        <w:t>Session 7C (Warwick</w:t>
      </w:r>
      <w:r w:rsidR="003F4297">
        <w:t xml:space="preserve"> University</w:t>
      </w:r>
      <w:r w:rsidR="004735DC">
        <w:t>,</w:t>
      </w:r>
      <w:r w:rsidR="003F4297">
        <w:t xml:space="preserve"> UK,</w:t>
      </w:r>
      <w:r w:rsidRPr="008F0D2E">
        <w:t xml:space="preserve"> </w:t>
      </w:r>
      <w:r w:rsidR="003F4297">
        <w:t xml:space="preserve">University of </w:t>
      </w:r>
      <w:r w:rsidRPr="008F0D2E">
        <w:t>Leeds</w:t>
      </w:r>
      <w:r w:rsidR="004735DC">
        <w:t>,</w:t>
      </w:r>
      <w:r w:rsidR="003F4297">
        <w:t xml:space="preserve"> UK</w:t>
      </w:r>
      <w:r w:rsidRPr="008F0D2E">
        <w:t xml:space="preserve"> &amp;</w:t>
      </w:r>
      <w:r w:rsidR="00615697">
        <w:t xml:space="preserve"> Nanyang Technological University</w:t>
      </w:r>
      <w:r w:rsidR="004735DC">
        <w:t>, Singapore</w:t>
      </w:r>
      <w:r w:rsidRPr="008F0D2E">
        <w:t>)</w:t>
      </w:r>
      <w:bookmarkEnd w:id="42"/>
      <w:r w:rsidRPr="008F0D2E">
        <w:t xml:space="preserve"> </w:t>
      </w:r>
    </w:p>
    <w:p w:rsidR="006564AB" w:rsidRPr="00C23D0D" w:rsidRDefault="003F4297" w:rsidP="00DD7B70">
      <w:pPr>
        <w:rPr>
          <w:rStyle w:val="SubtleEmphasis"/>
        </w:rPr>
      </w:pPr>
      <w:r w:rsidRPr="00C23D0D">
        <w:rPr>
          <w:rStyle w:val="SubtleEmphasis"/>
        </w:rPr>
        <w:t xml:space="preserve">Theme: </w:t>
      </w:r>
      <w:r w:rsidR="004735DC" w:rsidRPr="004735DC">
        <w:rPr>
          <w:rStyle w:val="SubtleEmphasis"/>
        </w:rPr>
        <w:t>Advanced Manufacturing</w:t>
      </w:r>
    </w:p>
    <w:p w:rsidR="00C23D0D" w:rsidRDefault="00C23D0D" w:rsidP="00DD7B70">
      <w:pPr>
        <w:rPr>
          <w:b/>
        </w:rPr>
      </w:pPr>
    </w:p>
    <w:p w:rsidR="004735DC" w:rsidRPr="00992B72" w:rsidRDefault="004735DC" w:rsidP="004735DC">
      <w:r w:rsidRPr="00992B72">
        <w:rPr>
          <w:b/>
          <w:noProof/>
        </w:rPr>
        <w:t>Oliver</w:t>
      </w:r>
      <w:r w:rsidRPr="00992B72">
        <w:rPr>
          <w:b/>
        </w:rPr>
        <w:t xml:space="preserve"> </w:t>
      </w:r>
      <w:r w:rsidRPr="00992B72">
        <w:rPr>
          <w:b/>
          <w:noProof/>
        </w:rPr>
        <w:t>Hamelijnck</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To Breathe or Not to Breathe</w:t>
      </w:r>
    </w:p>
    <w:p w:rsidR="004735DC" w:rsidRPr="004735DC" w:rsidRDefault="004735DC" w:rsidP="004735DC">
      <w:pPr>
        <w:rPr>
          <w:noProof/>
          <w:sz w:val="20"/>
          <w:szCs w:val="20"/>
        </w:rPr>
      </w:pPr>
      <w:r w:rsidRPr="004735DC">
        <w:rPr>
          <w:noProof/>
          <w:sz w:val="20"/>
          <w:szCs w:val="20"/>
        </w:rPr>
        <w:t>Air pollution in cities is an important issue that affects millions of people worldwide. It causes many health problems such as headaches and respiratory diseases, which can lead to premature death. Increasingly, around the world, air pollution episodes are happening that exceed safe levels defined by the World Health Organisation. Hence it has become one of the major priorities for the Mayor of London, who is taking tough measures to tackle the rising problem such as with the introduction of the toxicity charge.</w:t>
      </w:r>
    </w:p>
    <w:p w:rsidR="004735DC" w:rsidRPr="004735DC" w:rsidRDefault="004735DC" w:rsidP="004735DC">
      <w:pPr>
        <w:rPr>
          <w:noProof/>
          <w:sz w:val="20"/>
          <w:szCs w:val="20"/>
        </w:rPr>
      </w:pPr>
      <w:r w:rsidRPr="004735DC">
        <w:rPr>
          <w:noProof/>
          <w:sz w:val="20"/>
          <w:szCs w:val="20"/>
        </w:rPr>
        <w:t>Data related to air quality is becoming more readily available. Already in London, there is a network of air pollution sensors that record concentrations of PM10, PM2.5, SO2 and NO2 at high temporal resolutions. While this data is publicly accessible, this project will also make use of a private London land use dataset, provided by the Greater London Authority (GLA).</w:t>
      </w:r>
    </w:p>
    <w:p w:rsidR="004735DC" w:rsidRPr="004735DC" w:rsidRDefault="004735DC" w:rsidP="004735DC">
      <w:pPr>
        <w:rPr>
          <w:sz w:val="20"/>
          <w:szCs w:val="20"/>
        </w:rPr>
      </w:pPr>
      <w:r w:rsidRPr="004735DC">
        <w:rPr>
          <w:noProof/>
          <w:sz w:val="20"/>
          <w:szCs w:val="20"/>
        </w:rPr>
        <w:t>To build a spatial-temporal model with this data we will use Gaussian Processes (GP). These are a probabilistic method that quantify uncertainty and since we expect a correlation between each of the pollutants we can use a multi-task GP where each pollutant is a task. The aim is for our model to be more accurate than the current one used by the GLA, which is predominately based on the road network. These results can then be used to find areas where adding additional sensors will most improve the quality of the data. This research has the potential to aid the GLA in their efforts to reduce London’s air pollution problem.</w:t>
      </w:r>
    </w:p>
    <w:p w:rsidR="00956774" w:rsidRDefault="00956774" w:rsidP="00DD7B70">
      <w:pPr>
        <w:rPr>
          <w:sz w:val="20"/>
        </w:rPr>
      </w:pPr>
    </w:p>
    <w:p w:rsidR="004735DC" w:rsidRPr="00992B72" w:rsidRDefault="004735DC" w:rsidP="004735DC">
      <w:r w:rsidRPr="00992B72">
        <w:rPr>
          <w:b/>
          <w:noProof/>
        </w:rPr>
        <w:t>Jamie</w:t>
      </w:r>
      <w:r w:rsidRPr="00992B72">
        <w:rPr>
          <w:b/>
        </w:rPr>
        <w:t xml:space="preserve"> </w:t>
      </w:r>
      <w:r w:rsidRPr="00992B72">
        <w:rPr>
          <w:b/>
          <w:noProof/>
        </w:rPr>
        <w:t>Mawhinney</w:t>
      </w:r>
      <w:r w:rsidRPr="00992B72">
        <w:t xml:space="preserve"> (</w:t>
      </w:r>
      <w:r w:rsidRPr="00992B72">
        <w:rPr>
          <w:noProof/>
        </w:rPr>
        <w:t>Leeds University</w:t>
      </w:r>
      <w:r w:rsidRPr="00992B72">
        <w:t xml:space="preserve">, </w:t>
      </w:r>
      <w:r w:rsidRPr="00992B72">
        <w:rPr>
          <w:noProof/>
        </w:rPr>
        <w:t>UK</w:t>
      </w:r>
      <w:r>
        <w:t>)</w:t>
      </w:r>
      <w:r>
        <w:br/>
      </w:r>
      <w:r w:rsidRPr="00992B72">
        <w:rPr>
          <w:i/>
          <w:noProof/>
        </w:rPr>
        <w:t>A Novel Low-Cost Sensor for Grip Force Measurements</w:t>
      </w:r>
    </w:p>
    <w:p w:rsidR="004735DC" w:rsidRPr="004735DC" w:rsidRDefault="004735DC" w:rsidP="004735DC">
      <w:pPr>
        <w:rPr>
          <w:noProof/>
          <w:sz w:val="20"/>
          <w:szCs w:val="20"/>
        </w:rPr>
      </w:pPr>
      <w:r w:rsidRPr="004735DC">
        <w:rPr>
          <w:noProof/>
          <w:sz w:val="20"/>
          <w:szCs w:val="20"/>
        </w:rPr>
        <w:t>Prehension is a key skill for humans to possess in order to manipulate and handle objects; however, this skill could become impaired due to injury or illness such as spinal injury, stroke or cerebral palsy. Being able to accurately measure the grip force of an individual can be an important part in the assessment and rehabilitation of patients.</w:t>
      </w:r>
    </w:p>
    <w:p w:rsidR="004735DC" w:rsidRPr="004735DC" w:rsidRDefault="004735DC" w:rsidP="004735DC">
      <w:pPr>
        <w:rPr>
          <w:sz w:val="20"/>
          <w:szCs w:val="20"/>
        </w:rPr>
      </w:pPr>
      <w:r w:rsidRPr="004735DC">
        <w:rPr>
          <w:noProof/>
          <w:sz w:val="20"/>
          <w:szCs w:val="20"/>
        </w:rPr>
        <w:lastRenderedPageBreak/>
        <w:t>Currently, sensors accurate enough to measure grip force for clinical purposes are highly expensive and therefore impractical for use in the areas where they are most needed, such as clinics or schools. A system being developed between the schools of Mechanical Engineering, Psychology and Sports Sciences – FATKAT (Finger and Thumb Kinetic Assessment Tool) – uses a low-cost, single-axis sensor. However, research has been carried out to develop a design methodology and prototype three-axis force sensor that is cheap, reliable and easy to produce. There are a number of parameters involved in producing a sensor of this type and this project focused on designing a sensor to replace the existing single-axis sensor by balancing these parameters for the required purpose. As a result, we were able to develop a sensor capable of measuring human grip forces in three axes for under £40. A number of prototype units have been made to be developed further through the 2017/18 academic year.</w:t>
      </w:r>
    </w:p>
    <w:p w:rsidR="004735DC" w:rsidRDefault="004735DC" w:rsidP="00DD7B70">
      <w:pPr>
        <w:rPr>
          <w:sz w:val="20"/>
        </w:rPr>
      </w:pPr>
    </w:p>
    <w:p w:rsidR="004735DC" w:rsidRPr="00992B72" w:rsidRDefault="004735DC" w:rsidP="004735DC">
      <w:r w:rsidRPr="00992B72">
        <w:rPr>
          <w:b/>
          <w:noProof/>
        </w:rPr>
        <w:t>Thomas</w:t>
      </w:r>
      <w:r w:rsidRPr="00992B72">
        <w:rPr>
          <w:b/>
        </w:rPr>
        <w:t xml:space="preserve"> </w:t>
      </w:r>
      <w:r w:rsidRPr="00992B72">
        <w:rPr>
          <w:b/>
          <w:noProof/>
        </w:rPr>
        <w:t>Batchelor</w:t>
      </w:r>
      <w:r w:rsidRPr="00992B72">
        <w:t xml:space="preserve"> (</w:t>
      </w:r>
      <w:r w:rsidRPr="00992B72">
        <w:rPr>
          <w:noProof/>
        </w:rPr>
        <w:t>Leeds University</w:t>
      </w:r>
      <w:r w:rsidRPr="00992B72">
        <w:t xml:space="preserve">, </w:t>
      </w:r>
      <w:r w:rsidRPr="00992B72">
        <w:rPr>
          <w:noProof/>
        </w:rPr>
        <w:t>UK</w:t>
      </w:r>
      <w:r>
        <w:t>)</w:t>
      </w:r>
      <w:r>
        <w:br/>
      </w:r>
      <w:r w:rsidRPr="00992B72">
        <w:rPr>
          <w:i/>
          <w:noProof/>
        </w:rPr>
        <w:t>Wearable Sensors Network for Real-Time Recognition of Human Activities</w:t>
      </w:r>
    </w:p>
    <w:p w:rsidR="004735DC" w:rsidRPr="004735DC" w:rsidRDefault="004735DC" w:rsidP="004735DC">
      <w:pPr>
        <w:rPr>
          <w:sz w:val="20"/>
          <w:szCs w:val="20"/>
        </w:rPr>
      </w:pPr>
      <w:r w:rsidRPr="004735DC">
        <w:rPr>
          <w:noProof/>
          <w:sz w:val="20"/>
          <w:szCs w:val="20"/>
        </w:rPr>
        <w:t>Recognition and prediction of movement intention are crucial processes for the development of intelligent wearable robots capable of safely assisting humans in their activities of daily living. These processes depend on the systematic data collection in real time from multiple sensors attached to the human body. For that reason, this work is focused on the development of a wearable sensors network for lower limbs that, together with high-level computational methods, will allow robotic systems to understand human movements and provide accurate and timely assistance. Systematic data collection is proposed by using multiple synchronised inertial measurement units (IMUs) attached to lower limbs. For data analysis, a Raspberry Pi (RasPi), together with Bayesian formulations and convolutional neural networks (CNN), are proposed for recognition of activities such as level-ground walking, ramp ascent and ramp descent. Currently, wireless communication between the RasPi and an IMU sensor has been configured. Furthermore, a CNN has been successfully implemented in the RasPi for recognition of three walking activities in offline mode, and using data previously collected from three IMUs, attached to the lower limbs of human participants. This process achieved a mean recognition accuracy of 95%. Research is still in progress and requires the following future work: synchronisation of multiple IMUs, implementation of Bayesian approaches and recognition of walking activities in real time. The results from this work will provide a robust high-level recognition system for control of wearable devices to assist humans in their later years or those who have a lower limb impairment.</w:t>
      </w:r>
    </w:p>
    <w:p w:rsidR="004735DC" w:rsidRDefault="004735DC" w:rsidP="00DD7B70">
      <w:pPr>
        <w:rPr>
          <w:sz w:val="20"/>
        </w:rPr>
      </w:pPr>
    </w:p>
    <w:p w:rsidR="004735DC" w:rsidRPr="00992B72" w:rsidRDefault="004735DC" w:rsidP="004735DC">
      <w:r w:rsidRPr="00992B72">
        <w:rPr>
          <w:b/>
          <w:noProof/>
        </w:rPr>
        <w:t>Yu</w:t>
      </w:r>
      <w:r w:rsidRPr="00992B72">
        <w:rPr>
          <w:b/>
        </w:rPr>
        <w:t xml:space="preserve"> </w:t>
      </w:r>
      <w:r w:rsidRPr="00992B72">
        <w:rPr>
          <w:b/>
          <w:noProof/>
        </w:rPr>
        <w:t>Cheng</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Development of Facial Analysis System for a Household Chatbot</w:t>
      </w:r>
    </w:p>
    <w:p w:rsidR="004735DC" w:rsidRPr="004735DC" w:rsidRDefault="004735DC" w:rsidP="004735DC">
      <w:pPr>
        <w:rPr>
          <w:sz w:val="20"/>
          <w:szCs w:val="20"/>
        </w:rPr>
      </w:pPr>
      <w:r w:rsidRPr="004735DC">
        <w:rPr>
          <w:noProof/>
          <w:sz w:val="20"/>
          <w:szCs w:val="20"/>
        </w:rPr>
        <w:t>This paper presents the process of developing a facial analysis system for household chatbots and related research. The main components of this system are facial identity recognition and facial expression classification. This system will be implemented on the chatbot for real-time visual analysis. The system will provide information extracted from a camera to the linguistic analysis, which will comprehensively give a response based on both natural language and visual information. Since the processor in a household chatbot is lower in performance than one in a desktop computer, we will design a light structure of a deeper model with acceptable performance for the model to meet requirements in terms of speed and accuracy. In this paper, the author discusses the traditional training scheme, which uses a classifier connected with a softmax activation function, and computes the loss using cross entropy equation. Based on the discussion on traditional softmax – cross entropy method – the author made several attempts using different methods to modify the model structure and proposed a modified method in the training procedure. Furthermore, based on statistical and topological analysis, the author also evaluated the availability of cosine similarity, Euclidian distance similarity and the metric learning method of projecting the feature vector to Euclidian distance.</w:t>
      </w:r>
    </w:p>
    <w:p w:rsidR="004735DC" w:rsidRDefault="004735DC" w:rsidP="00DD7B70">
      <w:pPr>
        <w:rPr>
          <w:sz w:val="20"/>
        </w:rPr>
      </w:pPr>
    </w:p>
    <w:p w:rsidR="00615697" w:rsidRDefault="00615697">
      <w:pPr>
        <w:pStyle w:val="Heading2"/>
      </w:pPr>
      <w:bookmarkStart w:id="43" w:name="_Toc501711930"/>
      <w:r>
        <w:lastRenderedPageBreak/>
        <w:t>Session 7D (Sussex University, UK &amp; Nanyang Technological University, Singapore)</w:t>
      </w:r>
      <w:bookmarkEnd w:id="43"/>
    </w:p>
    <w:p w:rsidR="00615697" w:rsidRDefault="00615697" w:rsidP="00615697">
      <w:pPr>
        <w:rPr>
          <w:i/>
        </w:rPr>
      </w:pPr>
      <w:r>
        <w:rPr>
          <w:i/>
        </w:rPr>
        <w:t xml:space="preserve">Theme: </w:t>
      </w:r>
      <w:r w:rsidRPr="00615697">
        <w:rPr>
          <w:i/>
        </w:rPr>
        <w:t>New Devices</w:t>
      </w:r>
    </w:p>
    <w:p w:rsidR="00615697" w:rsidRDefault="00615697" w:rsidP="00615697">
      <w:pPr>
        <w:rPr>
          <w:i/>
        </w:rPr>
      </w:pPr>
    </w:p>
    <w:p w:rsidR="00615697" w:rsidRPr="00992B72" w:rsidRDefault="00615697" w:rsidP="00615697">
      <w:r w:rsidRPr="00992B72">
        <w:rPr>
          <w:b/>
          <w:noProof/>
        </w:rPr>
        <w:t>Renske</w:t>
      </w:r>
      <w:r w:rsidRPr="00992B72">
        <w:rPr>
          <w:b/>
        </w:rPr>
        <w:t xml:space="preserve"> </w:t>
      </w:r>
      <w:r w:rsidRPr="00992B72">
        <w:rPr>
          <w:b/>
          <w:noProof/>
        </w:rPr>
        <w:t>McFarlane</w:t>
      </w:r>
      <w:r w:rsidRPr="00992B72">
        <w:t xml:space="preserve"> (</w:t>
      </w:r>
      <w:r w:rsidRPr="00992B72">
        <w:rPr>
          <w:noProof/>
        </w:rPr>
        <w:t>Sussex University</w:t>
      </w:r>
      <w:r w:rsidRPr="00992B72">
        <w:t xml:space="preserve">, </w:t>
      </w:r>
      <w:r w:rsidRPr="00992B72">
        <w:rPr>
          <w:noProof/>
        </w:rPr>
        <w:t>UK</w:t>
      </w:r>
      <w:r>
        <w:t>)</w:t>
      </w:r>
      <w:r>
        <w:br/>
      </w:r>
      <w:r w:rsidRPr="00992B72">
        <w:rPr>
          <w:i/>
          <w:noProof/>
        </w:rPr>
        <w:t>Do Parents and Teachers Find an Absence Reporting App Acceptable and Beneficial in Delivering Personalised Medicine Management in Paediatric Asthma?</w:t>
      </w:r>
    </w:p>
    <w:p w:rsidR="00615697" w:rsidRPr="00615697" w:rsidRDefault="00615697" w:rsidP="00615697">
      <w:pPr>
        <w:rPr>
          <w:noProof/>
          <w:sz w:val="20"/>
          <w:szCs w:val="20"/>
        </w:rPr>
      </w:pPr>
      <w:r w:rsidRPr="00615697">
        <w:rPr>
          <w:noProof/>
          <w:sz w:val="20"/>
          <w:szCs w:val="20"/>
        </w:rPr>
        <w:t>The importance of regular attendance at school is well acknowledged. Children who are frequently absent not only fall behind in class, but may underachieve as they get older. Asthma is a very common illness affecting about 1 in every 10 children. Although many children have well-controlled asthma, many continue to experience symptoms that stop them doing their usual activities, such as attending school.</w:t>
      </w:r>
    </w:p>
    <w:p w:rsidR="00615697" w:rsidRPr="00615697" w:rsidRDefault="00615697" w:rsidP="00615697">
      <w:pPr>
        <w:rPr>
          <w:noProof/>
          <w:sz w:val="20"/>
          <w:szCs w:val="20"/>
        </w:rPr>
      </w:pPr>
      <w:r w:rsidRPr="00615697">
        <w:rPr>
          <w:noProof/>
          <w:sz w:val="20"/>
          <w:szCs w:val="20"/>
        </w:rPr>
        <w:t>Using the free school absence reporting app ‘Studybugs’, Brighton and Hove City Council and Sussex Schools (UK) showed that throughout 2015, 2% of all children reported an absence due to asthma and 17% of all children reported an asthma-type symptom. While the Studybugs app is routinely used by parents to report school absences, there is uncertainty surrounding whether this app could be used by parents to receive information and guidance on improving the management of their child’s asthma. Thus this project aims to explore the views of parents/caregivers and school staff to determine if they would find this approach to delivering tailored asthma management acceptable and beneficial.</w:t>
      </w:r>
    </w:p>
    <w:p w:rsidR="00615697" w:rsidRPr="00615697" w:rsidRDefault="00615697" w:rsidP="00615697">
      <w:pPr>
        <w:rPr>
          <w:sz w:val="20"/>
          <w:szCs w:val="20"/>
        </w:rPr>
      </w:pPr>
      <w:r w:rsidRPr="00615697">
        <w:rPr>
          <w:noProof/>
          <w:sz w:val="20"/>
          <w:szCs w:val="20"/>
        </w:rPr>
        <w:t>Early findings suggest that for parents there is a perceived benefit in receiving trigger warnings (high pollen count, an impending cold snap or high pollution levels) and receiving behavioural reminders such as prescription reminders or visual prompts like inhaler technique reminder videos. Staff have also voiced an interest in having access to a ‘health library’ to facilitate absence conversations with parents and children and the use of the app to aid schools in their absence analysis.</w:t>
      </w:r>
    </w:p>
    <w:p w:rsidR="00615697" w:rsidRDefault="00615697" w:rsidP="00615697">
      <w:pPr>
        <w:rPr>
          <w:i/>
        </w:rPr>
      </w:pPr>
    </w:p>
    <w:p w:rsidR="00615697" w:rsidRPr="00992B72" w:rsidRDefault="00615697" w:rsidP="00615697">
      <w:r w:rsidRPr="00992B72">
        <w:rPr>
          <w:b/>
          <w:noProof/>
        </w:rPr>
        <w:t>Diana</w:t>
      </w:r>
      <w:r w:rsidRPr="00992B72">
        <w:rPr>
          <w:b/>
        </w:rPr>
        <w:t xml:space="preserve"> </w:t>
      </w:r>
      <w:r w:rsidRPr="00992B72">
        <w:rPr>
          <w:b/>
          <w:noProof/>
        </w:rPr>
        <w:t>Garduno Jimenez</w:t>
      </w:r>
      <w:r w:rsidRPr="00992B72">
        <w:t xml:space="preserve"> (</w:t>
      </w:r>
      <w:r w:rsidRPr="00992B72">
        <w:rPr>
          <w:noProof/>
        </w:rPr>
        <w:t>Sussex University</w:t>
      </w:r>
      <w:r w:rsidRPr="00992B72">
        <w:t xml:space="preserve">, </w:t>
      </w:r>
      <w:r w:rsidRPr="00992B72">
        <w:rPr>
          <w:noProof/>
        </w:rPr>
        <w:t>UK</w:t>
      </w:r>
      <w:r>
        <w:t>)</w:t>
      </w:r>
      <w:r>
        <w:br/>
      </w:r>
      <w:r w:rsidRPr="00992B72">
        <w:rPr>
          <w:i/>
          <w:noProof/>
        </w:rPr>
        <w:t>Emotionless Forecasts Increasing Climate Change Risk?</w:t>
      </w:r>
    </w:p>
    <w:p w:rsidR="00615697" w:rsidRPr="00615697" w:rsidRDefault="00615697" w:rsidP="00615697">
      <w:pPr>
        <w:rPr>
          <w:noProof/>
          <w:sz w:val="20"/>
          <w:szCs w:val="20"/>
        </w:rPr>
      </w:pPr>
      <w:r w:rsidRPr="00615697">
        <w:rPr>
          <w:noProof/>
          <w:sz w:val="20"/>
          <w:szCs w:val="20"/>
        </w:rPr>
        <w:t>In the current context of climate change and food shortages in many parts of the world, the importance of effectively communicating weather forecast increases. Farmers face high degrees of uncertainty when deciding how to use the information obtained through weather forecasts, which can be seen as a pattern recognition task. Recent psychological findings have shown that emotions can help people make better decisions as it allows them to think clearer. Using this information in the field, separate research found that for climatically and economically vulnerable farmers in Kenya, emotional states not only increase intentions to use seasonal climate forecast but also help navigate multiple factors and uncertainty associated with using climate forecasts.</w:t>
      </w:r>
    </w:p>
    <w:p w:rsidR="00615697" w:rsidRPr="00615697" w:rsidRDefault="00615697" w:rsidP="00615697">
      <w:pPr>
        <w:rPr>
          <w:sz w:val="20"/>
          <w:szCs w:val="20"/>
        </w:rPr>
      </w:pPr>
      <w:r w:rsidRPr="00615697">
        <w:rPr>
          <w:noProof/>
          <w:sz w:val="20"/>
          <w:szCs w:val="20"/>
        </w:rPr>
        <w:t>Taking those two strands of investigation, this research has now taken these ideas into a controlled experimental setting in which participants need to complete different pattern recognition tasks twice, each time being primed by a different emotion. The goal is to uncover whether emotionally primed people perform better at these pattern recognition tasks. The research is still in progress; thus results have not been confirmed yet. If participants do perform better, then this research can feed into improving climate forecast communication by including images or other elements to emotionally stimulate farmers when they receive forecasts. This could then lead them to make better decisions based on recognising patterns from forecast probabilities and using their own past experience. Consequently, this interdisciplinary research has the potential to directly help reduce the risks posed by climate change, making it highly useful.</w:t>
      </w:r>
    </w:p>
    <w:p w:rsidR="00615697" w:rsidRDefault="00615697" w:rsidP="00615697">
      <w:pPr>
        <w:rPr>
          <w:i/>
        </w:rPr>
      </w:pPr>
    </w:p>
    <w:p w:rsidR="00615697" w:rsidRPr="00992B72" w:rsidRDefault="00615697" w:rsidP="00615697">
      <w:r w:rsidRPr="00992B72">
        <w:rPr>
          <w:b/>
          <w:noProof/>
        </w:rPr>
        <w:lastRenderedPageBreak/>
        <w:t>May Yeng Amanda</w:t>
      </w:r>
      <w:r w:rsidRPr="00992B72">
        <w:rPr>
          <w:b/>
        </w:rPr>
        <w:t xml:space="preserve"> </w:t>
      </w:r>
      <w:r w:rsidRPr="00992B72">
        <w:rPr>
          <w:b/>
          <w:noProof/>
        </w:rPr>
        <w:t>Choo</w:t>
      </w:r>
      <w:r w:rsidRPr="00992B72">
        <w:t xml:space="preserve"> (</w:t>
      </w:r>
      <w:r w:rsidRPr="00992B72">
        <w:rPr>
          <w:noProof/>
        </w:rPr>
        <w:t>Nanyang Technological University (NTU)</w:t>
      </w:r>
      <w:r w:rsidRPr="00992B72">
        <w:t xml:space="preserve">, </w:t>
      </w:r>
      <w:r w:rsidRPr="00992B72">
        <w:rPr>
          <w:noProof/>
        </w:rPr>
        <w:t>Singapore</w:t>
      </w:r>
      <w:r>
        <w:t>)</w:t>
      </w:r>
      <w:r>
        <w:br/>
      </w:r>
      <w:r w:rsidRPr="00992B72">
        <w:rPr>
          <w:i/>
          <w:noProof/>
        </w:rPr>
        <w:t>Face Attractiveness and the Adaptation Aftereffect</w:t>
      </w:r>
    </w:p>
    <w:p w:rsidR="00615697" w:rsidRPr="00615697" w:rsidRDefault="00615697" w:rsidP="00615697">
      <w:pPr>
        <w:rPr>
          <w:sz w:val="20"/>
          <w:szCs w:val="20"/>
        </w:rPr>
      </w:pPr>
      <w:r w:rsidRPr="00615697">
        <w:rPr>
          <w:noProof/>
          <w:sz w:val="20"/>
          <w:szCs w:val="20"/>
        </w:rPr>
        <w:t>How do we process the massive amount of visual information in our daily lives? It has been suggested that our visual system views a set of items as a summarised representation through ensemble coding. Our lab recently showed that this occurred in facial expression perception during a series of faces being presented rapidly in sequence. The current study examined whether this ensemble coding occurs in facial attractiveness perception as well. We subjected 30 participants to rapid serial visual presentation (RSVP) of faces with varying attractiveness as well as computer generated-averaged faces of these faces. The results showed that after adapting to the attractive RSVP stream, subjects showed significant adaptation aftereffect with the same magnitude as being adapted to the averaged attractive face of the RSVP stream. Our data thus indicates that temporal ensemble coding occurs in perceiving facial attractiveness. This suggests that we are able to grasp the gist of facial attractiveness in everyday life, and it can occur within a very short period of time (i.e. 4 seconds). Our finding sheds light on the understanding of how we perceive facial attractiveness and make social judgments, including stereotypes, especially when attractive faces have been suggested to link with positive favours from others.</w:t>
      </w:r>
    </w:p>
    <w:p w:rsidR="00615697" w:rsidRPr="00615697" w:rsidRDefault="00615697" w:rsidP="00615697">
      <w:pPr>
        <w:rPr>
          <w:i/>
        </w:rPr>
      </w:pPr>
    </w:p>
    <w:p w:rsidR="00C23D0D" w:rsidRDefault="00C23D0D" w:rsidP="00C23D0D">
      <w:pPr>
        <w:pStyle w:val="Heading1"/>
        <w:jc w:val="center"/>
      </w:pPr>
      <w:bookmarkStart w:id="44" w:name="_Toc501711931"/>
      <w:r>
        <w:t>SESSION 8</w:t>
      </w:r>
      <w:bookmarkEnd w:id="44"/>
    </w:p>
    <w:p w:rsidR="0098261D" w:rsidRPr="003F4297" w:rsidRDefault="0098261D" w:rsidP="00DD7B70">
      <w:pPr>
        <w:rPr>
          <w:sz w:val="20"/>
        </w:rPr>
      </w:pPr>
    </w:p>
    <w:p w:rsidR="006564AB" w:rsidRPr="008F0D2E" w:rsidRDefault="006564AB" w:rsidP="00C23D0D">
      <w:pPr>
        <w:pStyle w:val="Heading2"/>
      </w:pPr>
      <w:bookmarkStart w:id="45" w:name="_Toc501711932"/>
      <w:r w:rsidRPr="008F0D2E">
        <w:t>Session 8A (Warwick</w:t>
      </w:r>
      <w:r w:rsidR="003F4297">
        <w:t xml:space="preserve"> University, UK</w:t>
      </w:r>
      <w:r w:rsidRPr="008F0D2E">
        <w:t xml:space="preserve"> &amp; </w:t>
      </w:r>
      <w:r w:rsidR="003F4297">
        <w:t xml:space="preserve">Monash University, </w:t>
      </w:r>
      <w:r w:rsidRPr="008F0D2E">
        <w:t>South Africa)</w:t>
      </w:r>
      <w:bookmarkEnd w:id="45"/>
      <w:r w:rsidRPr="008F0D2E">
        <w:t xml:space="preserve"> </w:t>
      </w:r>
    </w:p>
    <w:p w:rsidR="006564AB" w:rsidRPr="00C23D0D" w:rsidRDefault="003F4297" w:rsidP="00DD7B70">
      <w:pPr>
        <w:rPr>
          <w:rStyle w:val="SubtleEmphasis"/>
        </w:rPr>
      </w:pPr>
      <w:r w:rsidRPr="00C23D0D">
        <w:rPr>
          <w:rStyle w:val="SubtleEmphasis"/>
        </w:rPr>
        <w:t xml:space="preserve">Theme: </w:t>
      </w:r>
      <w:r w:rsidR="00615697" w:rsidRPr="00615697">
        <w:rPr>
          <w:rStyle w:val="SubtleEmphasis"/>
        </w:rPr>
        <w:t>States and Citizens</w:t>
      </w:r>
    </w:p>
    <w:p w:rsidR="00EB58C1" w:rsidRDefault="00EB58C1" w:rsidP="00DD7B70">
      <w:pPr>
        <w:rPr>
          <w:sz w:val="20"/>
        </w:rPr>
      </w:pPr>
    </w:p>
    <w:p w:rsidR="00615697" w:rsidRPr="00992B72" w:rsidRDefault="00615697" w:rsidP="00615697">
      <w:r w:rsidRPr="00992B72">
        <w:rPr>
          <w:b/>
          <w:noProof/>
        </w:rPr>
        <w:t>Sven</w:t>
      </w:r>
      <w:r w:rsidRPr="00992B72">
        <w:rPr>
          <w:b/>
        </w:rPr>
        <w:t xml:space="preserve"> </w:t>
      </w:r>
      <w:r w:rsidRPr="00992B72">
        <w:rPr>
          <w:b/>
          <w:noProof/>
        </w:rPr>
        <w:t>Botha</w:t>
      </w:r>
      <w:r w:rsidRPr="00992B72">
        <w:t xml:space="preserve"> (</w:t>
      </w:r>
      <w:r w:rsidRPr="00992B72">
        <w:rPr>
          <w:noProof/>
        </w:rPr>
        <w:t>Monash University</w:t>
      </w:r>
      <w:r w:rsidRPr="00992B72">
        <w:t xml:space="preserve">, </w:t>
      </w:r>
      <w:r w:rsidRPr="00992B72">
        <w:rPr>
          <w:noProof/>
        </w:rPr>
        <w:t>South Africa</w:t>
      </w:r>
      <w:r>
        <w:t>)</w:t>
      </w:r>
      <w:r>
        <w:br/>
      </w:r>
      <w:r w:rsidRPr="00992B72">
        <w:rPr>
          <w:i/>
          <w:noProof/>
        </w:rPr>
        <w:t>Frau Merkel verses Europe: A case study illustrating how personality, status and history opened Germany’s borders</w:t>
      </w:r>
    </w:p>
    <w:p w:rsidR="00615697" w:rsidRPr="00615697" w:rsidRDefault="00615697" w:rsidP="00615697">
      <w:pPr>
        <w:rPr>
          <w:sz w:val="20"/>
          <w:szCs w:val="20"/>
        </w:rPr>
      </w:pPr>
      <w:r w:rsidRPr="00615697">
        <w:rPr>
          <w:noProof/>
          <w:sz w:val="20"/>
          <w:szCs w:val="20"/>
        </w:rPr>
        <w:t>German Chancellor Angela Merkel is perhaps one of the most influential world leaders of our time. As a result, she has often played a dominant role in many important international issues, but none more important than the current refugee crisis between Syria and Europe. To date, Germany has accepted more refugees and asylum seekers than any of its European counterparts. This paper intends to provide motivation explaining why the refugee policies have been so asymptomatic using the author’s own model. The model was constructed after extensive qualitative research had been conducted and argues that State behaviour can be explained by analysing three key aspects: the personality of a leader, a state’s standing internationally and its history. The model determines that while all three factors played a role in formulating Germany’s policy, it is Merkel’s personality that dominates the decision-making process. Furthermore, the model also uncovers the growing rifts developing between the Member States of the European Union, thus threatening European integration and the global governance of international migration. It is clear that Germany as a nation and Europe as a continent have both entered periods of uncertainty. But, whether the German voters will realise the success of Merkel’s policies before the upcoming General Election and whether the European Union will undertake some much-needed introspection and dilution is subject to debate and destiny.</w:t>
      </w:r>
    </w:p>
    <w:p w:rsidR="00615697" w:rsidRDefault="00615697" w:rsidP="00DD7B70">
      <w:pPr>
        <w:rPr>
          <w:sz w:val="20"/>
        </w:rPr>
      </w:pPr>
    </w:p>
    <w:p w:rsidR="00615697" w:rsidRPr="00992B72" w:rsidRDefault="00615697" w:rsidP="00615697">
      <w:r w:rsidRPr="00992B72">
        <w:rPr>
          <w:b/>
          <w:noProof/>
        </w:rPr>
        <w:t>Sophie</w:t>
      </w:r>
      <w:r w:rsidRPr="00992B72">
        <w:rPr>
          <w:b/>
        </w:rPr>
        <w:t xml:space="preserve"> </w:t>
      </w:r>
      <w:r w:rsidRPr="00992B72">
        <w:rPr>
          <w:b/>
          <w:noProof/>
        </w:rPr>
        <w:t>Worrall</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Brexit – A vote on globalisation as a consequence of the financial crisis</w:t>
      </w:r>
    </w:p>
    <w:p w:rsidR="00615697" w:rsidRPr="00615697" w:rsidRDefault="00615697" w:rsidP="00615697">
      <w:pPr>
        <w:rPr>
          <w:noProof/>
          <w:sz w:val="20"/>
          <w:szCs w:val="20"/>
        </w:rPr>
      </w:pPr>
      <w:r w:rsidRPr="00615697">
        <w:rPr>
          <w:noProof/>
          <w:sz w:val="20"/>
          <w:szCs w:val="20"/>
        </w:rPr>
        <w:t xml:space="preserve">In June 2016, British voters decided to leave the European Union by a small majority. My research argues Brexit occurred because people were voting on issues regarding globalisation and in light of the Global </w:t>
      </w:r>
      <w:r w:rsidRPr="00615697">
        <w:rPr>
          <w:noProof/>
          <w:sz w:val="20"/>
          <w:szCs w:val="20"/>
        </w:rPr>
        <w:lastRenderedPageBreak/>
        <w:t>Financial crisis – where the fault line of contemporary politics is between those which embrace globalisation and those who fear globalisation.</w:t>
      </w:r>
    </w:p>
    <w:p w:rsidR="00615697" w:rsidRPr="00615697" w:rsidRDefault="00615697" w:rsidP="00615697">
      <w:pPr>
        <w:rPr>
          <w:noProof/>
          <w:sz w:val="20"/>
          <w:szCs w:val="20"/>
        </w:rPr>
      </w:pPr>
      <w:r w:rsidRPr="00615697">
        <w:rPr>
          <w:noProof/>
          <w:sz w:val="20"/>
          <w:szCs w:val="20"/>
        </w:rPr>
        <w:t>My research will demonstrate how a new voting pattern had developed beyond class voting, characterised by exclusivist identity politics, leading to new logics and producing a radically different social-human impact. The research demonstrates that the new voting pattern advanced on issues such as open vs. closed borders, tolerance, nationalism. Parties, who used to represent class identity, were split on the issue – for example, Labour could not unite the young, metropolitan elite and the rural, white, working-class vote. The research combines the study of nationalism and global economic integration and further concludes that the deconstruction of liberal democratic values arose because of fiscal austerity after the financial crisis. The fiscal austerity intensified the crisis in the most deprived areas and resulted in the Brexit vote.</w:t>
      </w:r>
    </w:p>
    <w:p w:rsidR="00615697" w:rsidRPr="00615697" w:rsidRDefault="00615697" w:rsidP="00615697">
      <w:pPr>
        <w:rPr>
          <w:sz w:val="20"/>
          <w:szCs w:val="20"/>
        </w:rPr>
      </w:pPr>
      <w:r w:rsidRPr="00615697">
        <w:rPr>
          <w:noProof/>
          <w:sz w:val="20"/>
          <w:szCs w:val="20"/>
        </w:rPr>
        <w:t>The ‘Vote Leave’ campaign and traditional nationalism emerged against the phenomenon of global integration as the creation of a new horizontal culture excludes and marginalises vertically organised ones because of their appeal to cultural and national identity rather than mainly focusing on economic issues. The research will show a strong correlation between the demographics who embrace nationalist issues and are therefore simultaneously left behind by globalisation and the economic reforms.</w:t>
      </w:r>
    </w:p>
    <w:p w:rsidR="00615697" w:rsidRPr="00992B72" w:rsidRDefault="00615697" w:rsidP="00615697"/>
    <w:p w:rsidR="00615697" w:rsidRPr="00992B72" w:rsidRDefault="00615697" w:rsidP="00615697">
      <w:r w:rsidRPr="00992B72">
        <w:rPr>
          <w:b/>
          <w:noProof/>
        </w:rPr>
        <w:t>Callum</w:t>
      </w:r>
      <w:r w:rsidRPr="00992B72">
        <w:rPr>
          <w:b/>
        </w:rPr>
        <w:t xml:space="preserve"> </w:t>
      </w:r>
      <w:r w:rsidRPr="00992B72">
        <w:rPr>
          <w:b/>
          <w:noProof/>
        </w:rPr>
        <w:t>Bray</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The Causes and Effects of Nation Branding in East Asia: A comparative study of China and South Korea</w:t>
      </w:r>
    </w:p>
    <w:p w:rsidR="00615697" w:rsidRPr="00615697" w:rsidRDefault="00615697" w:rsidP="00615697">
      <w:pPr>
        <w:rPr>
          <w:noProof/>
          <w:sz w:val="20"/>
          <w:szCs w:val="20"/>
        </w:rPr>
      </w:pPr>
      <w:r w:rsidRPr="00615697">
        <w:rPr>
          <w:noProof/>
          <w:sz w:val="20"/>
          <w:szCs w:val="20"/>
        </w:rPr>
        <w:t>Nation branding is becoming an increasingly ubiquitous term within and outside the academy. Commercial globalisation, with the intensification of competition it brings, has brought an era of soft power politics creating a perceived need for nations to ‘sell themselves’ to other nations, international business and consumers.</w:t>
      </w:r>
    </w:p>
    <w:p w:rsidR="00615697" w:rsidRPr="00615697" w:rsidRDefault="00615697" w:rsidP="00615697">
      <w:pPr>
        <w:rPr>
          <w:noProof/>
          <w:sz w:val="20"/>
          <w:szCs w:val="20"/>
        </w:rPr>
      </w:pPr>
      <w:r w:rsidRPr="00615697">
        <w:rPr>
          <w:noProof/>
          <w:sz w:val="20"/>
          <w:szCs w:val="20"/>
        </w:rPr>
        <w:t>Since Anholt’s unveiling of the concept in 1996, various nations have adopted the techniques of commercial marketing – South Korea and China offer diverging examples. The former is understood as a success story and the latter a failure. This paper will move beyond a simply functionalist account of ‘how’ the two nations have pursued this aim and ‘why’ their policies have varied in success. Using a critical approach, it will seek to delineate the interrelation between cause and effect in the cases of the two nations, and more broadly within the phenomena of nation branding. It will find that a successful branding is a mutually constitutive process between the state-market-society, born out of the conditions and discourse within and between nations as much as from any policy platform. China’s failure and South Korea’s success can be found in the interaction between intent and substance, born from the causes and aims of their branding practice.</w:t>
      </w:r>
    </w:p>
    <w:p w:rsidR="00615697" w:rsidRPr="00615697" w:rsidRDefault="00615697" w:rsidP="00615697">
      <w:pPr>
        <w:rPr>
          <w:sz w:val="20"/>
          <w:szCs w:val="20"/>
        </w:rPr>
      </w:pPr>
      <w:r w:rsidRPr="00615697">
        <w:rPr>
          <w:noProof/>
          <w:sz w:val="20"/>
          <w:szCs w:val="20"/>
        </w:rPr>
        <w:t>The wider impact of this research will be twofold. Firstly, it will contribute to the scholarly understanding of the phenomena of state commercialisation. Secondly, it will elucidate to a wider audience the conditionality placed upon nations in their attempts at nation branding, and to conceptualise the socio-political roots driving it forward.</w:t>
      </w:r>
    </w:p>
    <w:p w:rsidR="00615697" w:rsidRPr="00992B72" w:rsidRDefault="00615697" w:rsidP="00615697"/>
    <w:p w:rsidR="00615697" w:rsidRPr="00992B72" w:rsidRDefault="00615697" w:rsidP="00615697">
      <w:r w:rsidRPr="00992B72">
        <w:rPr>
          <w:b/>
          <w:noProof/>
        </w:rPr>
        <w:t>Camille</w:t>
      </w:r>
      <w:r w:rsidRPr="00992B72">
        <w:rPr>
          <w:b/>
        </w:rPr>
        <w:t xml:space="preserve"> </w:t>
      </w:r>
      <w:r w:rsidRPr="00992B72">
        <w:rPr>
          <w:b/>
          <w:noProof/>
        </w:rPr>
        <w:t>Pimont</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Kant’s Theory of Peace: Visionary or out of date? The example of the European Union</w:t>
      </w:r>
    </w:p>
    <w:p w:rsidR="00615697" w:rsidRPr="00615697" w:rsidRDefault="00615697" w:rsidP="00615697">
      <w:pPr>
        <w:rPr>
          <w:noProof/>
          <w:sz w:val="20"/>
          <w:szCs w:val="20"/>
        </w:rPr>
      </w:pPr>
      <w:r w:rsidRPr="00615697">
        <w:rPr>
          <w:noProof/>
          <w:sz w:val="20"/>
          <w:szCs w:val="20"/>
        </w:rPr>
        <w:t>In many ways, the European Union Constitution follows Kant’s principles on perpetual peace: republicanism, civil rights and international rights, and cosmopolitanism. Initially, beyond the economic purpose, the EU was created to promote peace among nations. However, if peace was preserved, the EU today faces many criticisms, and has to deal with the rise of extremism, the euro crisis, the refugee crisis, …</w:t>
      </w:r>
    </w:p>
    <w:p w:rsidR="00615697" w:rsidRPr="00615697" w:rsidRDefault="00615697" w:rsidP="00615697">
      <w:pPr>
        <w:rPr>
          <w:noProof/>
          <w:sz w:val="20"/>
          <w:szCs w:val="20"/>
        </w:rPr>
      </w:pPr>
      <w:r w:rsidRPr="00615697">
        <w:rPr>
          <w:noProof/>
          <w:sz w:val="20"/>
          <w:szCs w:val="20"/>
        </w:rPr>
        <w:t xml:space="preserve">The current model of the EU needs to be reformed. Basing our analysis on Kant’s theory of peace, we aks: how should we reform it? Should the EU head towards federalism, until becoming the ‘United States of Europe’, or </w:t>
      </w:r>
      <w:r w:rsidRPr="00615697">
        <w:rPr>
          <w:noProof/>
          <w:sz w:val="20"/>
          <w:szCs w:val="20"/>
        </w:rPr>
        <w:lastRenderedPageBreak/>
        <w:t>should each individual country keep a high degree of sovereignty? Can cosmopolitanism ever overcome the problem of identity, which is already at the centre of many debates?</w:t>
      </w:r>
    </w:p>
    <w:p w:rsidR="00EB58C1" w:rsidRPr="00615697" w:rsidRDefault="00615697" w:rsidP="00615697">
      <w:pPr>
        <w:rPr>
          <w:sz w:val="20"/>
          <w:szCs w:val="20"/>
        </w:rPr>
      </w:pPr>
      <w:r w:rsidRPr="00615697">
        <w:rPr>
          <w:noProof/>
          <w:sz w:val="20"/>
          <w:szCs w:val="20"/>
        </w:rPr>
        <w:t>I assess every one of Kant’s principles, and transpose them in a contemporary context to analyse what answers they can give to these questions. My conclusions are that Kant’s theory of peace still holds today. Extreme federalism would not be a good solution both economically and politically, as it would induce an important loss of sovereignty that is crucial for many citizens in different European countries. A reinforced league of nations, similar to what Kant preconised, would suit Europe better. Morally speaking, cosmopolitanism will be a challenge, but it is an ideal that I defend and that I think is possible with a better construction of European identity.</w:t>
      </w:r>
    </w:p>
    <w:p w:rsidR="00D23BC9" w:rsidRPr="00D23BC9" w:rsidRDefault="00D23BC9" w:rsidP="00D23BC9"/>
    <w:p w:rsidR="006564AB" w:rsidRPr="008F0D2E" w:rsidRDefault="006564AB" w:rsidP="00C23D0D">
      <w:pPr>
        <w:pStyle w:val="Heading2"/>
      </w:pPr>
      <w:bookmarkStart w:id="46" w:name="_Toc501711933"/>
      <w:r w:rsidRPr="008F0D2E">
        <w:t>Session 8B (Warwick</w:t>
      </w:r>
      <w:r w:rsidR="00615697">
        <w:t xml:space="preserve"> University, UK, Leeds University, UK &amp; Baruch College, City University of New York, USA</w:t>
      </w:r>
      <w:r w:rsidRPr="008F0D2E">
        <w:t>)</w:t>
      </w:r>
      <w:bookmarkEnd w:id="46"/>
      <w:r w:rsidRPr="008F0D2E">
        <w:t xml:space="preserve"> </w:t>
      </w:r>
    </w:p>
    <w:p w:rsidR="00EB58C1" w:rsidRPr="00C23D0D" w:rsidRDefault="005F7D53" w:rsidP="00DD7B70">
      <w:pPr>
        <w:rPr>
          <w:rStyle w:val="SubtleEmphasis"/>
        </w:rPr>
      </w:pPr>
      <w:r w:rsidRPr="00C23D0D">
        <w:rPr>
          <w:rStyle w:val="SubtleEmphasis"/>
        </w:rPr>
        <w:t xml:space="preserve">Theme: </w:t>
      </w:r>
      <w:r w:rsidR="00615697" w:rsidRPr="00615697">
        <w:rPr>
          <w:rStyle w:val="SubtleEmphasis"/>
        </w:rPr>
        <w:t>The Environment, Health and Well-Being</w:t>
      </w:r>
    </w:p>
    <w:p w:rsidR="00C23D0D" w:rsidRDefault="00C23D0D" w:rsidP="00DD7B70">
      <w:pPr>
        <w:rPr>
          <w:b/>
        </w:rPr>
      </w:pPr>
    </w:p>
    <w:p w:rsidR="00615697" w:rsidRPr="00992B72" w:rsidRDefault="00615697" w:rsidP="00615697">
      <w:r w:rsidRPr="00992B72">
        <w:rPr>
          <w:b/>
          <w:noProof/>
        </w:rPr>
        <w:t>Marium</w:t>
      </w:r>
      <w:r w:rsidRPr="00992B72">
        <w:rPr>
          <w:b/>
        </w:rPr>
        <w:t xml:space="preserve"> </w:t>
      </w:r>
      <w:r w:rsidRPr="00992B72">
        <w:rPr>
          <w:b/>
          <w:noProof/>
        </w:rPr>
        <w:t>Sarder</w:t>
      </w:r>
      <w:r w:rsidRPr="00992B72">
        <w:t xml:space="preserve"> (</w:t>
      </w:r>
      <w:r w:rsidRPr="00992B72">
        <w:rPr>
          <w:noProof/>
        </w:rPr>
        <w:t>Baruch College, CUNY</w:t>
      </w:r>
      <w:r w:rsidRPr="00992B72">
        <w:t xml:space="preserve">, </w:t>
      </w:r>
      <w:r w:rsidRPr="00992B72">
        <w:rPr>
          <w:noProof/>
        </w:rPr>
        <w:t>USA</w:t>
      </w:r>
      <w:r w:rsidR="000649EB">
        <w:t>)</w:t>
      </w:r>
      <w:r w:rsidR="000649EB">
        <w:br/>
      </w:r>
      <w:r w:rsidRPr="00992B72">
        <w:rPr>
          <w:i/>
          <w:noProof/>
        </w:rPr>
        <w:t>Methoprene (Juvenile Hormone Mimic) Regulated Enhancer at the Foraging Locus</w:t>
      </w:r>
    </w:p>
    <w:p w:rsidR="00615697" w:rsidRPr="00EF0424" w:rsidRDefault="00615697" w:rsidP="00615697">
      <w:pPr>
        <w:rPr>
          <w:sz w:val="20"/>
          <w:szCs w:val="20"/>
        </w:rPr>
      </w:pPr>
      <w:r w:rsidRPr="00EF0424">
        <w:rPr>
          <w:noProof/>
          <w:sz w:val="20"/>
          <w:szCs w:val="20"/>
        </w:rPr>
        <w:t xml:space="preserve">The kinase foraging (FOR) is involved in modulating foraging behaviours across several insect species including </w:t>
      </w:r>
      <w:r w:rsidRPr="00EF0424">
        <w:rPr>
          <w:i/>
          <w:noProof/>
          <w:sz w:val="20"/>
          <w:szCs w:val="20"/>
        </w:rPr>
        <w:t>Drosophila melanogaster</w:t>
      </w:r>
      <w:r w:rsidRPr="00EF0424">
        <w:rPr>
          <w:noProof/>
          <w:sz w:val="20"/>
          <w:szCs w:val="20"/>
        </w:rPr>
        <w:t xml:space="preserve"> and honeybees (</w:t>
      </w:r>
      <w:r w:rsidRPr="00EF0424">
        <w:rPr>
          <w:i/>
          <w:noProof/>
          <w:sz w:val="20"/>
          <w:szCs w:val="20"/>
        </w:rPr>
        <w:t>Apis mellifera L.</w:t>
      </w:r>
      <w:r w:rsidRPr="00EF0424">
        <w:rPr>
          <w:noProof/>
          <w:sz w:val="20"/>
          <w:szCs w:val="20"/>
        </w:rPr>
        <w:t>) Changes in FOR expression are associated with hormonally regulated behavioural changes in honeybees and several ant species. Using chromatin immunoprecipitation and sequencing, we found a putative enhancer at the FOR locus that is differentially bound by the ecdysone receptor (EcR) and the juvenile hormone receptor, methoprene-tolerant (Met) in the presence of a juvenile hormone mimic (JHM), methoprene, in D. melanogaster. The enhancer was tagged with LacZ and integrated into the genome on the 3rd chromosome using ATTP sites. Expression of LacZ was detected with X-gal staining in the morphogenetic furrow of the eye disc, increasing from blue gutted wandering 3rd instar larvae (W3L) until white prepupae (WPP). We tested the hormone sensitivity of this enhancer by comparing LacZ expression in methoprene- and control-treated eye discs. Methoprene-treated eye discs expressed higher levels of LacZ than control discs, indicating JHM sensitivity of the FOR enhancer region. The male WPP discs displayed overall higher levels of LacZ transcription when untreated, ethanol treated and methoprene treated than the female discs under the same conditions. Juvenile hormone sensitivity of the FOR enhancer region was confirmed by the changes in transcription, and results indicate that the enhancer regulates transcription in a temporal, spatial and sex-specific manner. The differences in LacZ expression incurred following methoprene treatment strongly supports FOR as a possible juvenile hormone target gene. Additionally, we mutated the EcR/USP binding motif in the enhancer and found that expression in the morphogenetic furrow decreased and expression in the optic lobes appeared, indicating that this enhancer is also regulated by EcR. We are currently testing enhancer expression in EcR knockdown animals using hs-EcR-RNAi.</w:t>
      </w:r>
    </w:p>
    <w:p w:rsidR="00615697" w:rsidRPr="00992B72" w:rsidRDefault="00615697" w:rsidP="00615697"/>
    <w:p w:rsidR="00615697" w:rsidRPr="00992B72" w:rsidRDefault="00615697" w:rsidP="00615697">
      <w:r w:rsidRPr="00992B72">
        <w:rPr>
          <w:b/>
          <w:noProof/>
        </w:rPr>
        <w:t>Holly</w:t>
      </w:r>
      <w:r w:rsidRPr="00992B72">
        <w:rPr>
          <w:b/>
        </w:rPr>
        <w:t xml:space="preserve"> </w:t>
      </w:r>
      <w:r w:rsidRPr="00992B72">
        <w:rPr>
          <w:b/>
          <w:noProof/>
        </w:rPr>
        <w:t>Mills</w:t>
      </w:r>
      <w:r w:rsidRPr="00992B72">
        <w:t xml:space="preserve"> (</w:t>
      </w:r>
      <w:r w:rsidRPr="00992B72">
        <w:rPr>
          <w:noProof/>
        </w:rPr>
        <w:t>Leeds University</w:t>
      </w:r>
      <w:r w:rsidRPr="00992B72">
        <w:t xml:space="preserve">, </w:t>
      </w:r>
      <w:r w:rsidRPr="00992B72">
        <w:rPr>
          <w:noProof/>
        </w:rPr>
        <w:t>UK</w:t>
      </w:r>
      <w:r w:rsidR="000649EB">
        <w:t>)</w:t>
      </w:r>
      <w:r w:rsidR="000649EB">
        <w:br/>
      </w:r>
      <w:r w:rsidRPr="00992B72">
        <w:rPr>
          <w:i/>
          <w:noProof/>
        </w:rPr>
        <w:t>The Efficient Dispersal of Imaging Agents in Colonoscopy</w:t>
      </w:r>
    </w:p>
    <w:p w:rsidR="00615697" w:rsidRPr="00EF0424" w:rsidRDefault="00615697" w:rsidP="00615697">
      <w:pPr>
        <w:rPr>
          <w:sz w:val="20"/>
          <w:szCs w:val="20"/>
        </w:rPr>
      </w:pPr>
      <w:r w:rsidRPr="00EF0424">
        <w:rPr>
          <w:noProof/>
          <w:sz w:val="20"/>
          <w:szCs w:val="20"/>
        </w:rPr>
        <w:t xml:space="preserve">Colonoscopy is routine practice for the diagnosis of colon cancer. In this procedure, the use of the dye indigo carmine enhances the contrast of the tissue surface, helping the clinician to identify possible cancerous irregularities, such as polyps. In my research, I aim to design and produce a device that will spray a controlled amount of the dye using a foot pedal controlled by the clinician, eliminating the need for this to be manually controlled. The device will spray a set volume of dye with a consistent pattern. I will calculate the distance and force required on the syringe plunger to produce a 1ml spray using an Intsron material testing machine and use these measurements to design the device. The spray produced from the device will be characterised using </w:t>
      </w:r>
      <w:r w:rsidRPr="00EF0424">
        <w:rPr>
          <w:noProof/>
          <w:sz w:val="20"/>
          <w:szCs w:val="20"/>
        </w:rPr>
        <w:lastRenderedPageBreak/>
        <w:t>slow motion cameras and an image processing program. The device will be tested in a replica colon made by taking a cast from tissue and using this to create a mould from PDMS. This is a polymer that has hydrophilic surface properties, thus allowing us to study how the spray will perform in a similar environment to that which the procedure is performed. These results will be compared against sprays in current use which requires a nurse using a spray gun. I hope to prove that the spray from our device displays greater repeatability and consistency. I will demonstrate that use of our device will deliver more efficient colonoscopies and have the added benefit of requiring less nursing staff time.</w:t>
      </w:r>
    </w:p>
    <w:p w:rsidR="00610E51" w:rsidRDefault="00610E51" w:rsidP="00DD7B70">
      <w:pPr>
        <w:rPr>
          <w:sz w:val="20"/>
        </w:rPr>
      </w:pPr>
    </w:p>
    <w:p w:rsidR="00570602" w:rsidRPr="00992B72" w:rsidRDefault="00570602" w:rsidP="00570602">
      <w:r w:rsidRPr="00992B72">
        <w:rPr>
          <w:b/>
          <w:noProof/>
        </w:rPr>
        <w:t>Callum</w:t>
      </w:r>
      <w:r w:rsidRPr="00992B72">
        <w:rPr>
          <w:b/>
        </w:rPr>
        <w:t xml:space="preserve"> </w:t>
      </w:r>
      <w:r w:rsidRPr="00992B72">
        <w:rPr>
          <w:b/>
          <w:noProof/>
        </w:rPr>
        <w:t>McCarthy</w:t>
      </w:r>
      <w:r w:rsidRPr="00992B72">
        <w:t xml:space="preserve"> (</w:t>
      </w:r>
      <w:r w:rsidRPr="00992B72">
        <w:rPr>
          <w:noProof/>
        </w:rPr>
        <w:t>University of Warwick</w:t>
      </w:r>
      <w:r w:rsidRPr="00992B72">
        <w:t xml:space="preserve">, </w:t>
      </w:r>
      <w:r w:rsidRPr="00992B72">
        <w:rPr>
          <w:noProof/>
        </w:rPr>
        <w:t>UK</w:t>
      </w:r>
      <w:r w:rsidRPr="00992B72">
        <w:t>)</w:t>
      </w:r>
    </w:p>
    <w:p w:rsidR="00570602" w:rsidRPr="00992B72" w:rsidRDefault="00570602" w:rsidP="00570602">
      <w:r w:rsidRPr="00992B72">
        <w:rPr>
          <w:i/>
          <w:noProof/>
        </w:rPr>
        <w:t>Isolating and Identifying Different Bacteria that Live on Leaves and in Soil, Before Determining Whether They Can Break Down Pollutants Found in Car Exhaust Fumes (PNP and Carbon Monoxide)</w:t>
      </w:r>
    </w:p>
    <w:p w:rsidR="00570602" w:rsidRPr="001145DF" w:rsidRDefault="00570602" w:rsidP="00570602">
      <w:pPr>
        <w:rPr>
          <w:noProof/>
          <w:sz w:val="20"/>
          <w:szCs w:val="20"/>
        </w:rPr>
      </w:pPr>
      <w:r w:rsidRPr="001145DF">
        <w:rPr>
          <w:noProof/>
          <w:sz w:val="20"/>
          <w:szCs w:val="20"/>
        </w:rPr>
        <w:t>Identifying urban microbes degrading atmospheric pollutants (environmental microbiology). Human health is significantly affected by air pollution, which contributes to approximately 40,000 premature deaths annually. Trees improve air quality in urban environments through the uptake of carbon dioxide and release of oxygen, as well as by acting as natural filters, trapping pollutants on the leaf surface. How microorganisms contribute to the uptake and detoxification of these pollutants on the leaf surface is not as well understood. The purpose of this project is to isolate and categorise a variety of bacteria sampled from the phyllosphere, capable of degrading the atmospheric pollutants para-nitrophenol (PNP) and carbon monoxide (CO); chemicals present in car exhaust fumes. These bacteria will be washed from woodland moss and soil samples, before being grown in liquid cultures, and identified through PCR analysis and genome sequencing.</w:t>
      </w:r>
    </w:p>
    <w:p w:rsidR="00570602" w:rsidRPr="001145DF" w:rsidRDefault="00570602" w:rsidP="00570602">
      <w:pPr>
        <w:rPr>
          <w:sz w:val="20"/>
          <w:szCs w:val="20"/>
        </w:rPr>
      </w:pPr>
      <w:r w:rsidRPr="001145DF">
        <w:rPr>
          <w:noProof/>
          <w:sz w:val="20"/>
          <w:szCs w:val="20"/>
        </w:rPr>
        <w:t>This project could provide a better understanding of the potential of organisms naturally occurring in our ecosystem to reduce man-made pollution, i.e. para-nitrophenol and carbon monoxide. If successful, this information could be used to develop ways of utilising microorganisms to help reduce environmental pollution.</w:t>
      </w:r>
    </w:p>
    <w:p w:rsidR="00D23BC9" w:rsidRPr="005F7D53" w:rsidRDefault="00D23BC9" w:rsidP="00DD7B70">
      <w:pPr>
        <w:rPr>
          <w:sz w:val="20"/>
        </w:rPr>
      </w:pPr>
    </w:p>
    <w:p w:rsidR="006564AB" w:rsidRPr="008F0D2E" w:rsidRDefault="006564AB" w:rsidP="00C23D0D">
      <w:pPr>
        <w:pStyle w:val="Heading2"/>
      </w:pPr>
      <w:bookmarkStart w:id="47" w:name="_Toc501711934"/>
      <w:r w:rsidRPr="008F0D2E">
        <w:t>Session 8C (Warwick</w:t>
      </w:r>
      <w:r w:rsidR="00570602">
        <w:t xml:space="preserve"> University, </w:t>
      </w:r>
      <w:r w:rsidR="00DE592E">
        <w:t>UK</w:t>
      </w:r>
      <w:r w:rsidR="00570602">
        <w:t xml:space="preserve"> &amp;</w:t>
      </w:r>
      <w:r w:rsidR="00DE592E">
        <w:t xml:space="preserve"> </w:t>
      </w:r>
      <w:r w:rsidR="00570602">
        <w:t>Sussex University</w:t>
      </w:r>
      <w:r w:rsidR="00DE592E">
        <w:t>, UK</w:t>
      </w:r>
      <w:r w:rsidR="00570602">
        <w:t>)</w:t>
      </w:r>
      <w:bookmarkEnd w:id="47"/>
    </w:p>
    <w:p w:rsidR="00EB58C1" w:rsidRPr="00C23D0D" w:rsidRDefault="00DE592E" w:rsidP="00DD7B70">
      <w:pPr>
        <w:rPr>
          <w:rStyle w:val="SubtleEmphasis"/>
        </w:rPr>
      </w:pPr>
      <w:r w:rsidRPr="00C23D0D">
        <w:rPr>
          <w:rStyle w:val="SubtleEmphasis"/>
        </w:rPr>
        <w:t xml:space="preserve">Theme: </w:t>
      </w:r>
      <w:r w:rsidR="00EB58C1" w:rsidRPr="00C23D0D">
        <w:rPr>
          <w:rStyle w:val="SubtleEmphasis"/>
        </w:rPr>
        <w:t xml:space="preserve">Ageing, </w:t>
      </w:r>
      <w:r w:rsidR="00570602" w:rsidRPr="00570602">
        <w:rPr>
          <w:rStyle w:val="SubtleEmphasis"/>
        </w:rPr>
        <w:t>Women, Health &amp; Parenthood</w:t>
      </w:r>
    </w:p>
    <w:p w:rsidR="00C23D0D" w:rsidRDefault="00C23D0D" w:rsidP="00DD7B70">
      <w:pPr>
        <w:rPr>
          <w:b/>
        </w:rPr>
      </w:pPr>
    </w:p>
    <w:p w:rsidR="00570602" w:rsidRPr="00992B72" w:rsidRDefault="00570602" w:rsidP="00570602">
      <w:r w:rsidRPr="00992B72">
        <w:rPr>
          <w:b/>
          <w:noProof/>
        </w:rPr>
        <w:t>Molly</w:t>
      </w:r>
      <w:r w:rsidRPr="00992B72">
        <w:rPr>
          <w:b/>
        </w:rPr>
        <w:t xml:space="preserve"> </w:t>
      </w:r>
      <w:r w:rsidRPr="00992B72">
        <w:rPr>
          <w:b/>
          <w:noProof/>
        </w:rPr>
        <w:t>Masters</w:t>
      </w:r>
      <w:r w:rsidRPr="00992B72">
        <w:t xml:space="preserve"> (</w:t>
      </w:r>
      <w:r w:rsidRPr="00992B72">
        <w:rPr>
          <w:noProof/>
        </w:rPr>
        <w:t>Sussex University</w:t>
      </w:r>
      <w:r w:rsidRPr="00992B72">
        <w:t xml:space="preserve">, </w:t>
      </w:r>
      <w:r w:rsidRPr="00992B72">
        <w:rPr>
          <w:noProof/>
        </w:rPr>
        <w:t>UK</w:t>
      </w:r>
      <w:r>
        <w:t>)</w:t>
      </w:r>
      <w:r>
        <w:br/>
      </w:r>
      <w:r w:rsidRPr="00992B72">
        <w:rPr>
          <w:i/>
          <w:noProof/>
        </w:rPr>
        <w:t>The Female Apocalypse: Approaching a dystopian reality of reproductive politics</w:t>
      </w:r>
    </w:p>
    <w:p w:rsidR="00570602" w:rsidRPr="00570602" w:rsidRDefault="00570602" w:rsidP="00570602">
      <w:pPr>
        <w:rPr>
          <w:sz w:val="20"/>
          <w:szCs w:val="20"/>
        </w:rPr>
      </w:pPr>
      <w:r w:rsidRPr="00570602">
        <w:rPr>
          <w:noProof/>
          <w:sz w:val="20"/>
          <w:szCs w:val="20"/>
        </w:rPr>
        <w:t xml:space="preserve">This research explores the diminishing role, value and agency of women in reproductive decisions, linking contemporary politics with dystopian and utopian fiction, ultimately aiming to answer the question of whether a stark change in gender relations to reproduction and its control is possible, and will it free or oppress women? This will be achieved through a discussion structured in four themed parts, each based around a feminist analysis of certain key texts. Part One: ‘The Beginning’, explores the iconic works of Margret Atwood; Part Two: ‘Female Only Utopia’, explores The Power, Her Land and The Wayward Pines Trilogy; Part Three: ‘Apocalyptic Medical Visions’ explores such texts as Never Let Me Go and Brave New World. Lastly, Part Four: ‘Women’s Rights of Tomorrow’, explores To Room Nineteen and Woman on the Edge of Time. These fictional texts will be analysed with the aid of key critical texts varying in publication dates and locations to provide an intersectional viewpoint of women’s plight across the spectra of race, gender identification, sexuality and class. The subsequent discussion highlights such areas as the history of changes to reproductive thought and female bodily agency, along with the rising technological and political control of reproduction and the effects of such control upon women. From the discussion and analysis of these past texts concerning the future, it is hoped that this research will provide timely and crucial insights into the current and future position of women in having the freedom to make, and indeed the power to make, their own choices regarding reproduction. This </w:t>
      </w:r>
      <w:r w:rsidRPr="00570602">
        <w:rPr>
          <w:noProof/>
          <w:sz w:val="20"/>
          <w:szCs w:val="20"/>
        </w:rPr>
        <w:lastRenderedPageBreak/>
        <w:t>research caught the eyes of the publishing team at The Left Book Club, who are now organising to publish a digestible version of the research findings for a public readership.</w:t>
      </w:r>
    </w:p>
    <w:p w:rsidR="00956774" w:rsidRDefault="00956774" w:rsidP="00DD7B70">
      <w:pPr>
        <w:rPr>
          <w:sz w:val="20"/>
        </w:rPr>
      </w:pPr>
    </w:p>
    <w:p w:rsidR="00570602" w:rsidRPr="00992B72" w:rsidRDefault="00570602" w:rsidP="00570602">
      <w:r w:rsidRPr="00992B72">
        <w:rPr>
          <w:b/>
          <w:noProof/>
        </w:rPr>
        <w:t>Nadia</w:t>
      </w:r>
      <w:r w:rsidRPr="00992B72">
        <w:rPr>
          <w:b/>
        </w:rPr>
        <w:t xml:space="preserve"> </w:t>
      </w:r>
      <w:r w:rsidRPr="00992B72">
        <w:rPr>
          <w:b/>
          <w:noProof/>
        </w:rPr>
        <w:t>Arif</w:t>
      </w:r>
      <w:r w:rsidRPr="00992B72">
        <w:t xml:space="preserve"> (</w:t>
      </w:r>
      <w:r w:rsidRPr="00992B72">
        <w:rPr>
          <w:noProof/>
        </w:rPr>
        <w:t>Sussex University</w:t>
      </w:r>
      <w:r w:rsidRPr="00992B72">
        <w:t xml:space="preserve">, </w:t>
      </w:r>
      <w:r w:rsidRPr="00992B72">
        <w:rPr>
          <w:noProof/>
        </w:rPr>
        <w:t>UK</w:t>
      </w:r>
      <w:r>
        <w:t>)</w:t>
      </w:r>
      <w:r>
        <w:br/>
      </w:r>
      <w:r w:rsidRPr="00992B72">
        <w:rPr>
          <w:i/>
          <w:noProof/>
        </w:rPr>
        <w:t>Breast Cancer Information on the Internet: Patients and healthcare professionals’ perception of online resources</w:t>
      </w:r>
    </w:p>
    <w:p w:rsidR="00570602" w:rsidRPr="00570602" w:rsidRDefault="00570602" w:rsidP="00570602">
      <w:pPr>
        <w:rPr>
          <w:noProof/>
          <w:sz w:val="20"/>
          <w:szCs w:val="20"/>
        </w:rPr>
      </w:pPr>
      <w:r w:rsidRPr="00570602">
        <w:rPr>
          <w:noProof/>
          <w:sz w:val="20"/>
          <w:szCs w:val="20"/>
        </w:rPr>
        <w:t>Background</w:t>
      </w:r>
    </w:p>
    <w:p w:rsidR="00570602" w:rsidRPr="00570602" w:rsidRDefault="00570602" w:rsidP="00570602">
      <w:pPr>
        <w:rPr>
          <w:noProof/>
          <w:sz w:val="20"/>
          <w:szCs w:val="20"/>
        </w:rPr>
      </w:pPr>
      <w:r w:rsidRPr="00570602">
        <w:rPr>
          <w:noProof/>
          <w:sz w:val="20"/>
          <w:szCs w:val="20"/>
        </w:rPr>
        <w:t>The Internet has become a readily accessible source of medical information for patients and healthcare professionals. However, despite the plethora of health-related information on the Internet, little is known about the quality of information on breast cancer. Ethics approval was sought to investigate patients’ and healthcare professionals’ perception of quality of online information on breast cancer treatment options and the dimensions of quality they consider important.</w:t>
      </w:r>
    </w:p>
    <w:p w:rsidR="00570602" w:rsidRPr="00570602" w:rsidRDefault="00570602" w:rsidP="00570602">
      <w:pPr>
        <w:rPr>
          <w:noProof/>
          <w:sz w:val="20"/>
          <w:szCs w:val="20"/>
        </w:rPr>
      </w:pPr>
      <w:r w:rsidRPr="00570602">
        <w:rPr>
          <w:noProof/>
          <w:sz w:val="20"/>
          <w:szCs w:val="20"/>
        </w:rPr>
        <w:t>Methods</w:t>
      </w:r>
    </w:p>
    <w:p w:rsidR="00570602" w:rsidRPr="00570602" w:rsidRDefault="00570602" w:rsidP="00570602">
      <w:pPr>
        <w:rPr>
          <w:noProof/>
          <w:sz w:val="20"/>
          <w:szCs w:val="20"/>
        </w:rPr>
      </w:pPr>
      <w:r w:rsidRPr="00570602">
        <w:rPr>
          <w:noProof/>
          <w:sz w:val="20"/>
          <w:szCs w:val="20"/>
        </w:rPr>
        <w:t>Google.co.uk was used to search for ‘breast cancer treatment options’ and 10 websites were carefully selected encompassing different typologies and qualities. A questionnaire was developed by the investigators requiring participants to score these websites against 11 health information quality criteria. We analysed the scores given to the different criteria as well as identified the most important and least important criteria for patients and healthcare professionals.</w:t>
      </w:r>
    </w:p>
    <w:p w:rsidR="00570602" w:rsidRPr="00570602" w:rsidRDefault="00570602" w:rsidP="00570602">
      <w:pPr>
        <w:rPr>
          <w:noProof/>
          <w:sz w:val="20"/>
          <w:szCs w:val="20"/>
        </w:rPr>
      </w:pPr>
      <w:r w:rsidRPr="00570602">
        <w:rPr>
          <w:noProof/>
          <w:sz w:val="20"/>
          <w:szCs w:val="20"/>
        </w:rPr>
        <w:t>Results</w:t>
      </w:r>
    </w:p>
    <w:p w:rsidR="00570602" w:rsidRPr="00570602" w:rsidRDefault="00570602" w:rsidP="00570602">
      <w:pPr>
        <w:rPr>
          <w:noProof/>
          <w:sz w:val="20"/>
          <w:szCs w:val="20"/>
        </w:rPr>
      </w:pPr>
      <w:r w:rsidRPr="00570602">
        <w:rPr>
          <w:noProof/>
          <w:sz w:val="20"/>
          <w:szCs w:val="20"/>
        </w:rPr>
        <w:t>We received four completed questionnaires from healthcare professionals. Government, non-profit and health portals were given the highest average scores across the different criteria. Commercial websites, on the other hand, were given the lowest score by healthcare professionals and hence were considered as having poorer quality information. Overall healthcare professionals considered credibility, trustworthiness and accuracy of the websites as the most important criteria, whereas complementarity (supporting the doctor–patient relationship) of the information was not deemed as important.</w:t>
      </w:r>
    </w:p>
    <w:p w:rsidR="00570602" w:rsidRPr="00570602" w:rsidRDefault="00570602" w:rsidP="00570602">
      <w:pPr>
        <w:rPr>
          <w:noProof/>
          <w:sz w:val="20"/>
          <w:szCs w:val="20"/>
        </w:rPr>
      </w:pPr>
      <w:r w:rsidRPr="00570602">
        <w:rPr>
          <w:noProof/>
          <w:sz w:val="20"/>
          <w:szCs w:val="20"/>
        </w:rPr>
        <w:t>Conclusion</w:t>
      </w:r>
    </w:p>
    <w:p w:rsidR="00570602" w:rsidRPr="00570602" w:rsidRDefault="00570602" w:rsidP="00570602">
      <w:pPr>
        <w:rPr>
          <w:sz w:val="20"/>
          <w:szCs w:val="20"/>
        </w:rPr>
      </w:pPr>
      <w:r w:rsidRPr="00570602">
        <w:rPr>
          <w:noProof/>
          <w:sz w:val="20"/>
          <w:szCs w:val="20"/>
        </w:rPr>
        <w:t>To harness the power of the Internet as a source of information for patients, and enable them to navigate the myriad of information, healthcare professionals should evaluate websites. This will enable them to direct and signpost patients towards high-quality information.</w:t>
      </w:r>
    </w:p>
    <w:p w:rsidR="00570602" w:rsidRDefault="00570602" w:rsidP="00DD7B70">
      <w:pPr>
        <w:rPr>
          <w:sz w:val="20"/>
        </w:rPr>
      </w:pPr>
    </w:p>
    <w:p w:rsidR="00570602" w:rsidRPr="00992B72" w:rsidRDefault="00570602" w:rsidP="00570602">
      <w:r w:rsidRPr="00992B72">
        <w:rPr>
          <w:b/>
          <w:noProof/>
        </w:rPr>
        <w:t>Ahmed</w:t>
      </w:r>
      <w:r w:rsidRPr="00992B72">
        <w:rPr>
          <w:b/>
        </w:rPr>
        <w:t xml:space="preserve"> </w:t>
      </w:r>
      <w:r w:rsidRPr="00992B72">
        <w:rPr>
          <w:b/>
          <w:noProof/>
        </w:rPr>
        <w:t>Tohamy</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Structural Adjustment and Child Mortality</w:t>
      </w:r>
    </w:p>
    <w:p w:rsidR="00570602" w:rsidRPr="00570602" w:rsidRDefault="00570602" w:rsidP="00570602">
      <w:pPr>
        <w:rPr>
          <w:noProof/>
          <w:sz w:val="20"/>
          <w:szCs w:val="20"/>
        </w:rPr>
      </w:pPr>
      <w:r w:rsidRPr="00570602">
        <w:rPr>
          <w:noProof/>
          <w:sz w:val="20"/>
          <w:szCs w:val="20"/>
        </w:rPr>
        <w:t>This project will evaluate the mortality consequences of structural adjustment. During the 1980s and 1990s, several developing countries received loans from the International Monetary Fund in return for reforms to exchange rate, monetary, trade and budget policies, as well as privatisation of state-owned enterprises. Several writers (e.g. Chossudovsky, Graeber) have portrayed these reforms as humanitarian catastrophes, but these claims have received little empirical testing, particularly using microeconomic data.</w:t>
      </w:r>
    </w:p>
    <w:p w:rsidR="00570602" w:rsidRPr="00570602" w:rsidRDefault="00570602" w:rsidP="00570602">
      <w:pPr>
        <w:rPr>
          <w:noProof/>
          <w:sz w:val="20"/>
          <w:szCs w:val="20"/>
        </w:rPr>
      </w:pPr>
      <w:r w:rsidRPr="00570602">
        <w:rPr>
          <w:noProof/>
          <w:sz w:val="20"/>
          <w:szCs w:val="20"/>
        </w:rPr>
        <w:t>We propose to implement a difference-in-differences statistical panel data regression (using both country-by-year and birth-level data) in order to test whether structural adjustment had any effect on infant or child mortality in these countries. In particular, the result of the statistical procedure will advise us as to whether the differential effect of taking a loan as compared to not has impacted infant or child mortality rate. We think that these claims could be true because International Monetary Fund’s loans cause sudden changes in public health expenditure, which leads to higher child mortality.</w:t>
      </w:r>
    </w:p>
    <w:p w:rsidR="00570602" w:rsidRPr="00570602" w:rsidRDefault="00570602" w:rsidP="00570602">
      <w:pPr>
        <w:rPr>
          <w:sz w:val="20"/>
          <w:szCs w:val="20"/>
        </w:rPr>
      </w:pPr>
      <w:r w:rsidRPr="00570602">
        <w:rPr>
          <w:noProof/>
          <w:sz w:val="20"/>
          <w:szCs w:val="20"/>
        </w:rPr>
        <w:lastRenderedPageBreak/>
        <w:t>This project addresses two central issues of foreign aid policies: Whether structural adjustment programmes need to be reformed; and whether it is justifiable to oppose them within countries from a humanitarian point of view. The project also fits into the academic literature on analysing the welfare effects of structural adjustment loans.</w:t>
      </w:r>
    </w:p>
    <w:p w:rsidR="00570602" w:rsidRDefault="00570602" w:rsidP="00DD7B70">
      <w:pPr>
        <w:rPr>
          <w:sz w:val="20"/>
        </w:rPr>
      </w:pPr>
    </w:p>
    <w:p w:rsidR="00570602" w:rsidRPr="00992B72" w:rsidRDefault="00570602" w:rsidP="00570602">
      <w:r w:rsidRPr="00992B72">
        <w:rPr>
          <w:b/>
          <w:noProof/>
        </w:rPr>
        <w:t>Beatrice</w:t>
      </w:r>
      <w:r w:rsidRPr="00992B72">
        <w:rPr>
          <w:b/>
        </w:rPr>
        <w:t xml:space="preserve"> </w:t>
      </w:r>
      <w:r w:rsidRPr="00992B72">
        <w:rPr>
          <w:b/>
          <w:noProof/>
        </w:rPr>
        <w:t>Palazzolo</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Effects of Paternity Leave on Fathers’ Involvement and Mothers’ Return to Work</w:t>
      </w:r>
    </w:p>
    <w:p w:rsidR="00570602" w:rsidRPr="00570602" w:rsidRDefault="00570602" w:rsidP="00570602">
      <w:pPr>
        <w:rPr>
          <w:noProof/>
          <w:sz w:val="20"/>
          <w:szCs w:val="20"/>
        </w:rPr>
      </w:pPr>
      <w:r w:rsidRPr="00570602">
        <w:rPr>
          <w:noProof/>
          <w:sz w:val="20"/>
          <w:szCs w:val="20"/>
        </w:rPr>
        <w:t>Over the past 18 years, most OECD countries have improved their family policies in the direction of gender equality. In the United Kingdom, parents can be eligible to take leave receiving most of their pay either individually or through ad hoc shared schemes.</w:t>
      </w:r>
    </w:p>
    <w:p w:rsidR="00570602" w:rsidRPr="00570602" w:rsidRDefault="00570602" w:rsidP="00570602">
      <w:pPr>
        <w:rPr>
          <w:noProof/>
          <w:sz w:val="20"/>
          <w:szCs w:val="20"/>
        </w:rPr>
      </w:pPr>
      <w:r w:rsidRPr="00570602">
        <w:rPr>
          <w:noProof/>
          <w:sz w:val="20"/>
          <w:szCs w:val="20"/>
        </w:rPr>
        <w:t>This paper investigates the effect of paternity leave on fathers’ involvement with their child and mothers’ return to work after childbirth using British data from the Millennium Cohort Study, a five-wave panel study surveying around 18,819 children born into 18,553 families in 2000–2001. The aim is to evaluate the efficacy of paternity leave from a twofold perspective: firstly, by looking at fathers’ contribution in three caretaking activities nine months after childbirth, I will observe whether having taken a leave determines greater commitment; secondly, I will examine whether such paternal involvement might lead mothers to return to work, reducing the likelihood of occupational discrimination and maternal unemployment. Insights on the importance of the fathers’ commitment are largely provided by social policy and psychological literature: paternal involvement can encourage bonding since the early stages of children’s development and benefit children’s cognitive skills (O’Brien, 2005; Kotsadam and Finseraas, 2011; Huerta</w:t>
      </w:r>
      <w:r w:rsidRPr="00570602">
        <w:rPr>
          <w:i/>
          <w:noProof/>
          <w:sz w:val="20"/>
          <w:szCs w:val="20"/>
        </w:rPr>
        <w:t xml:space="preserve"> et al.</w:t>
      </w:r>
      <w:r w:rsidRPr="00570602">
        <w:rPr>
          <w:noProof/>
          <w:sz w:val="20"/>
          <w:szCs w:val="20"/>
        </w:rPr>
        <w:t>, 2013). However, considerably less attention has been given to whether paternity leave might also affect mothers’ decision to re-enter the work force, and how these two aspects might be linked.</w:t>
      </w:r>
    </w:p>
    <w:p w:rsidR="00570602" w:rsidRPr="00570602" w:rsidRDefault="00570602" w:rsidP="00570602">
      <w:pPr>
        <w:rPr>
          <w:sz w:val="20"/>
          <w:szCs w:val="20"/>
        </w:rPr>
      </w:pPr>
      <w:r w:rsidRPr="00570602">
        <w:rPr>
          <w:noProof/>
          <w:sz w:val="20"/>
          <w:szCs w:val="20"/>
        </w:rPr>
        <w:t>Both parts involve the use of a series of multivariate regressions and Instrumental Variable (IV) models. The results for the first part confirmed previous findings (Tanaka and Waldfogel, 2007), highlighting a positive relationship between leave-taking and involvement in childcare-related activities. In the second part, fathers’ leave-taking was not statistically significant as a determinant for mothers’ return to the workplace. Therefore, these findings imply that other unexplored factors that are not related with the share of responsibilities in the household might affect mothers’ choices.</w:t>
      </w:r>
    </w:p>
    <w:p w:rsidR="00C23D0D" w:rsidRDefault="00C23D0D" w:rsidP="00DD7B70">
      <w:pPr>
        <w:rPr>
          <w:sz w:val="20"/>
        </w:rPr>
      </w:pPr>
    </w:p>
    <w:p w:rsidR="00C23D0D" w:rsidRPr="00DE592E" w:rsidRDefault="00D23BC9" w:rsidP="00C23D0D">
      <w:pPr>
        <w:pStyle w:val="Heading1"/>
        <w:jc w:val="center"/>
      </w:pPr>
      <w:bookmarkStart w:id="48" w:name="_Toc501711935"/>
      <w:r>
        <w:t>S</w:t>
      </w:r>
      <w:r w:rsidR="00C23D0D">
        <w:t>ESSION 9</w:t>
      </w:r>
      <w:bookmarkEnd w:id="48"/>
    </w:p>
    <w:p w:rsidR="006564AB" w:rsidRPr="00C23D0D" w:rsidRDefault="006564AB" w:rsidP="00C23D0D">
      <w:pPr>
        <w:pStyle w:val="Heading2"/>
      </w:pPr>
      <w:bookmarkStart w:id="49" w:name="_Toc501711936"/>
      <w:r w:rsidRPr="00C23D0D">
        <w:t xml:space="preserve">Session 9A (Warwick </w:t>
      </w:r>
      <w:r w:rsidR="00DE592E" w:rsidRPr="00C23D0D">
        <w:t>University, UK</w:t>
      </w:r>
      <w:r w:rsidR="00570602">
        <w:t>, Leeds University, UK</w:t>
      </w:r>
      <w:r w:rsidR="00DE592E" w:rsidRPr="00C23D0D">
        <w:t xml:space="preserve"> </w:t>
      </w:r>
      <w:r w:rsidRPr="00C23D0D">
        <w:t xml:space="preserve">&amp; </w:t>
      </w:r>
      <w:r w:rsidR="00DE592E" w:rsidRPr="00C23D0D">
        <w:t xml:space="preserve">Monash University, </w:t>
      </w:r>
      <w:r w:rsidRPr="00C23D0D">
        <w:t>South Africa)</w:t>
      </w:r>
      <w:bookmarkEnd w:id="49"/>
      <w:r w:rsidRPr="00C23D0D">
        <w:t xml:space="preserve"> </w:t>
      </w:r>
    </w:p>
    <w:p w:rsidR="006564AB" w:rsidRPr="00C23D0D" w:rsidRDefault="00DE592E" w:rsidP="00DD7B70">
      <w:pPr>
        <w:rPr>
          <w:rStyle w:val="SubtleEmphasis"/>
        </w:rPr>
      </w:pPr>
      <w:r w:rsidRPr="00C23D0D">
        <w:rPr>
          <w:rStyle w:val="SubtleEmphasis"/>
        </w:rPr>
        <w:t xml:space="preserve">Theme: </w:t>
      </w:r>
      <w:r w:rsidR="00570602" w:rsidRPr="00570602">
        <w:rPr>
          <w:rStyle w:val="SubtleEmphasis"/>
        </w:rPr>
        <w:t>Cities and Regions</w:t>
      </w:r>
    </w:p>
    <w:p w:rsidR="00570602" w:rsidRPr="00570602" w:rsidRDefault="00570602" w:rsidP="00570602">
      <w:r w:rsidRPr="00992B72">
        <w:rPr>
          <w:b/>
          <w:noProof/>
        </w:rPr>
        <w:t>Moustafa</w:t>
      </w:r>
      <w:r w:rsidRPr="00992B72">
        <w:rPr>
          <w:b/>
        </w:rPr>
        <w:t xml:space="preserve"> </w:t>
      </w:r>
      <w:r w:rsidRPr="00992B72">
        <w:rPr>
          <w:b/>
          <w:noProof/>
        </w:rPr>
        <w:t>Abdelwahab</w:t>
      </w:r>
      <w:r w:rsidRPr="00992B72">
        <w:t xml:space="preserve"> (</w:t>
      </w:r>
      <w:r w:rsidRPr="00992B72">
        <w:rPr>
          <w:noProof/>
        </w:rPr>
        <w:t>Leeds University</w:t>
      </w:r>
      <w:r w:rsidRPr="00992B72">
        <w:t xml:space="preserve">, </w:t>
      </w:r>
      <w:r w:rsidRPr="00992B72">
        <w:rPr>
          <w:noProof/>
        </w:rPr>
        <w:t>UK</w:t>
      </w:r>
      <w:r>
        <w:t>)</w:t>
      </w:r>
      <w:r>
        <w:br/>
      </w:r>
      <w:r w:rsidRPr="00570602">
        <w:rPr>
          <w:i/>
          <w:noProof/>
        </w:rPr>
        <w:t>Review of State of the Art in Fabrication of Connections found in Reticulated Structures Developed by Topology Optimisation and Additive Manufacturing Processes</w:t>
      </w:r>
    </w:p>
    <w:p w:rsidR="00570602" w:rsidRPr="00570602" w:rsidRDefault="00570602" w:rsidP="00570602">
      <w:pPr>
        <w:rPr>
          <w:noProof/>
          <w:sz w:val="20"/>
          <w:szCs w:val="20"/>
        </w:rPr>
      </w:pPr>
      <w:r w:rsidRPr="00570602">
        <w:rPr>
          <w:noProof/>
          <w:sz w:val="20"/>
          <w:szCs w:val="20"/>
        </w:rPr>
        <w:t>This study aims at providing an overview of the state of the art in spatial structures and their irregular node connections, and employing the topology optimisation (TO) technique and additive manufacturing (AM) process to address the design challenges for these complex structural components.</w:t>
      </w:r>
    </w:p>
    <w:p w:rsidR="00570602" w:rsidRPr="00570602" w:rsidRDefault="00570602" w:rsidP="00570602">
      <w:pPr>
        <w:rPr>
          <w:noProof/>
          <w:sz w:val="20"/>
          <w:szCs w:val="20"/>
        </w:rPr>
      </w:pPr>
      <w:r w:rsidRPr="00570602">
        <w:rPr>
          <w:noProof/>
          <w:sz w:val="20"/>
          <w:szCs w:val="20"/>
        </w:rPr>
        <w:t xml:space="preserve">TO opened a new gate into highly complex and efficient (weight-to-stiffness ratio) designs that were difficult to achieve using traditional manufacturing technologies (e.g., machining and casting). AM (Also known as 3D printing) overcomes many of the manufacturing limitations through a layer-based fabrication process. The current AM product market value is worth $6 billion and is projected to reach $10.8 billion by the year 2021 (Wohlers Report, 2016). This fast growing market has influenced the construction industry at a pace slower </w:t>
      </w:r>
      <w:r w:rsidRPr="00570602">
        <w:rPr>
          <w:noProof/>
          <w:sz w:val="20"/>
          <w:szCs w:val="20"/>
        </w:rPr>
        <w:lastRenderedPageBreak/>
        <w:t>than other sectors. Therefore, it was considered necessary to study the relevant areas, review several case studies – including Arup’s recent attempt to integrate TO and AM in a tensegrity structure (Galjaard</w:t>
      </w:r>
      <w:r w:rsidRPr="00570602">
        <w:rPr>
          <w:i/>
          <w:noProof/>
          <w:sz w:val="20"/>
          <w:szCs w:val="20"/>
        </w:rPr>
        <w:t xml:space="preserve"> et al.</w:t>
      </w:r>
      <w:r w:rsidRPr="00570602">
        <w:rPr>
          <w:noProof/>
          <w:sz w:val="20"/>
          <w:szCs w:val="20"/>
        </w:rPr>
        <w:t>, 2015) – and identify the key benefits and limitations of the technologies to help companies strategically invest their efforts in introducing 3D printed structural products to the construction sector and balance cost, time and efficiency.</w:t>
      </w:r>
    </w:p>
    <w:p w:rsidR="00570602" w:rsidRPr="00570602" w:rsidRDefault="00570602" w:rsidP="00570602">
      <w:pPr>
        <w:rPr>
          <w:noProof/>
          <w:sz w:val="20"/>
          <w:szCs w:val="20"/>
        </w:rPr>
      </w:pPr>
      <w:r w:rsidRPr="00570602">
        <w:rPr>
          <w:noProof/>
          <w:sz w:val="20"/>
          <w:szCs w:val="20"/>
        </w:rPr>
        <w:t>AM and TO are effective and profitable in small size and unique components, which would be difficult and expensive to fabricate using classic methods. Within the infrastructure industry, the connections of spatial structures represent an ideal component to apply AM and TO techniques, due to their complex shape (arrangement of members) and their ideal (small) size meeting the standards of the current 3D printing machines. This review study focuses on highlighting the benefits of applying TO and AM in the fabrication of such type of connections and provides design and fabrication recommendations to help address some of the identified limitations. Finally, proposals regarding the future potential applications of these technologies based on ongoing research in other fields (i.e. prosthetics and aerospace) have been reported.</w:t>
      </w:r>
    </w:p>
    <w:p w:rsidR="00570602" w:rsidRPr="00570602" w:rsidRDefault="00570602" w:rsidP="00570602">
      <w:pPr>
        <w:rPr>
          <w:sz w:val="20"/>
          <w:szCs w:val="20"/>
        </w:rPr>
      </w:pPr>
      <w:r w:rsidRPr="00570602">
        <w:rPr>
          <w:noProof/>
          <w:sz w:val="20"/>
          <w:szCs w:val="20"/>
        </w:rPr>
        <w:t>Keywords: Topology Optimisation, additive manufacturing, structural connections, spatial structures, reticulated space structures, reticulated shells, lattice structures, 3D printing, future applications, key factors, production technology.</w:t>
      </w:r>
    </w:p>
    <w:p w:rsidR="000177F4" w:rsidRDefault="000177F4" w:rsidP="00DD7B70"/>
    <w:p w:rsidR="00570602" w:rsidRPr="00992B72" w:rsidRDefault="00570602" w:rsidP="00570602">
      <w:r w:rsidRPr="00992B72">
        <w:rPr>
          <w:b/>
          <w:noProof/>
        </w:rPr>
        <w:t>Emma</w:t>
      </w:r>
      <w:r w:rsidRPr="00992B72">
        <w:rPr>
          <w:b/>
        </w:rPr>
        <w:t xml:space="preserve"> </w:t>
      </w:r>
      <w:r w:rsidRPr="00992B72">
        <w:rPr>
          <w:b/>
          <w:noProof/>
        </w:rPr>
        <w:t>Holder</w:t>
      </w:r>
      <w:r w:rsidRPr="00992B72">
        <w:t xml:space="preserve"> (</w:t>
      </w:r>
      <w:r w:rsidRPr="00992B72">
        <w:rPr>
          <w:noProof/>
        </w:rPr>
        <w:t>University of Warwick</w:t>
      </w:r>
      <w:r w:rsidRPr="00992B72">
        <w:t xml:space="preserve">, </w:t>
      </w:r>
      <w:r w:rsidRPr="00992B72">
        <w:rPr>
          <w:noProof/>
        </w:rPr>
        <w:t>UK</w:t>
      </w:r>
      <w:r w:rsidRPr="00992B72">
        <w:t>)</w:t>
      </w:r>
      <w:r>
        <w:br/>
      </w:r>
      <w:r w:rsidRPr="00992B72">
        <w:rPr>
          <w:i/>
          <w:noProof/>
        </w:rPr>
        <w:t>Coloniality of Power in Mario Vargas Llosa’s Peru</w:t>
      </w:r>
    </w:p>
    <w:p w:rsidR="00570602" w:rsidRPr="00570602" w:rsidRDefault="00570602" w:rsidP="00570602">
      <w:pPr>
        <w:rPr>
          <w:noProof/>
          <w:sz w:val="20"/>
          <w:szCs w:val="20"/>
        </w:rPr>
      </w:pPr>
      <w:r w:rsidRPr="00570602">
        <w:rPr>
          <w:noProof/>
          <w:sz w:val="20"/>
          <w:szCs w:val="20"/>
        </w:rPr>
        <w:t>The ‘Coloniality of power’, a term first used by Peruvian Aníbal Quijano, was created to explore the legacy of colonialism in post-independence nations. It underlines the racial, cultural and political orders that were imposed by the various European empires on their colonies during the colonial period. The concept of the Coloniality of Power states that given the extent to which European empires forced their ideology onto the colonies, these ‘nation states’ have not been able to escape their position as was defined in the colonial world. Not only does it draw attention to the influence of Western values, but also the internal imperial behaviour of the military governments in Latin America comes to the foreground the more closely one compares the behaviour of the colonial period to the way in which governments exert power in contemporary Latin America.</w:t>
      </w:r>
    </w:p>
    <w:p w:rsidR="00570602" w:rsidRPr="00570602" w:rsidRDefault="00570602" w:rsidP="00570602">
      <w:pPr>
        <w:rPr>
          <w:noProof/>
          <w:sz w:val="20"/>
          <w:szCs w:val="20"/>
        </w:rPr>
      </w:pPr>
      <w:r w:rsidRPr="00570602">
        <w:rPr>
          <w:noProof/>
          <w:sz w:val="20"/>
          <w:szCs w:val="20"/>
        </w:rPr>
        <w:t>This research employs Quijano’s model as a framework from which to analyse the extent the colonial period lies at the heart of the social discriminations and problems of cultural hegemony in the neo-colonial world for the independent Peru. I use the novels of Mario Vargas Llosa to look at key moments in Peruvian history and underline the parallels that are present between contemporary society and the colonial period as they provide a convincing depiction of the social, economic and political reality of the nation by exploring the experience of Peruvian society and the significance of the military in the development of its peoples.</w:t>
      </w:r>
    </w:p>
    <w:p w:rsidR="00570602" w:rsidRPr="00570602" w:rsidRDefault="00570602" w:rsidP="00570602">
      <w:pPr>
        <w:rPr>
          <w:sz w:val="20"/>
          <w:szCs w:val="20"/>
        </w:rPr>
      </w:pPr>
      <w:r w:rsidRPr="00570602">
        <w:rPr>
          <w:noProof/>
          <w:sz w:val="20"/>
          <w:szCs w:val="20"/>
        </w:rPr>
        <w:t>The analysis that this research has given hopes to give rise to studies which increase awareness of this neo-colonial world and seeks to draw attention to the importance of the colonial past in approaching issues that rise in the modern world. Furthermore, I hope to open up the concept of post-colonialism to apply to Latin America, despite its earlier independence.</w:t>
      </w:r>
    </w:p>
    <w:p w:rsidR="00570602" w:rsidRDefault="00570602" w:rsidP="00DD7B70"/>
    <w:p w:rsidR="00570602" w:rsidRPr="00992B72" w:rsidRDefault="00570602" w:rsidP="00570602">
      <w:r w:rsidRPr="00992B72">
        <w:rPr>
          <w:b/>
          <w:noProof/>
        </w:rPr>
        <w:t>Gemma</w:t>
      </w:r>
      <w:r w:rsidRPr="00992B72">
        <w:rPr>
          <w:b/>
        </w:rPr>
        <w:t xml:space="preserve"> </w:t>
      </w:r>
      <w:r w:rsidRPr="00992B72">
        <w:rPr>
          <w:b/>
          <w:noProof/>
        </w:rPr>
        <w:t>Holgate</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Locating Margaret Harkness (1854–1923): The significance of empathy in late Victorian slum fiction</w:t>
      </w:r>
    </w:p>
    <w:p w:rsidR="00570602" w:rsidRPr="00570602" w:rsidRDefault="00570602" w:rsidP="00570602">
      <w:pPr>
        <w:rPr>
          <w:sz w:val="20"/>
          <w:szCs w:val="20"/>
        </w:rPr>
      </w:pPr>
      <w:r w:rsidRPr="00570602">
        <w:rPr>
          <w:noProof/>
          <w:sz w:val="20"/>
          <w:szCs w:val="20"/>
        </w:rPr>
        <w:t xml:space="preserve">The slum-novelist Margaret Harkness remains a little-studied figure in comparison to her more famous counterparts within London’s literary, political community at the fin-de-siècle. However, what studies there are tends to discuss her position as an independent ‘New Woman’, involved with the Social Democratic Foundation, trade unionism and the Salvation Army. Attempts to situate Harkness by way of her association with various groups has led to numerous criticisms regarding what is deemed an ambiguous political position in her works and a pessimistic outlook regarding the state of the working class. This paper critically discusses </w:t>
      </w:r>
      <w:r w:rsidRPr="00570602">
        <w:rPr>
          <w:noProof/>
          <w:sz w:val="20"/>
          <w:szCs w:val="20"/>
        </w:rPr>
        <w:lastRenderedPageBreak/>
        <w:t>Margaret Harkness’ narrative voice in her four major novels – that is, her three East London works A City Girl, In Darkest London and Out of Work of the 1880s, and the slightly later A Manchester Shirtmaker of 1890. I argue that the difficulty of categorising Harkness’ work is its strength, for it gives her work a somewhat unique place in the literature of this period – in a position of marginality, without fixed allegiance to one group or agenda, she is able to present the condition of the working poor with vivid accuracy and, above all, an overwhelming sense of convincingly genuine empathy. This study is particularly relevant to modern-day Britain, in which media discourses surrounding those in poverty are often highly critical. The twenty-first century culture of scapegoating in representations of ‘benefits Britain’ is essentially the same attitude that Harkness was attempting to combat, over a century earlier.</w:t>
      </w:r>
    </w:p>
    <w:p w:rsidR="00570602" w:rsidRDefault="00570602" w:rsidP="00DD7B70"/>
    <w:p w:rsidR="00570602" w:rsidRPr="00992B72" w:rsidRDefault="00570602" w:rsidP="00570602">
      <w:r w:rsidRPr="00992B72">
        <w:rPr>
          <w:b/>
          <w:noProof/>
        </w:rPr>
        <w:t>Brian</w:t>
      </w:r>
      <w:r w:rsidRPr="00992B72">
        <w:rPr>
          <w:b/>
        </w:rPr>
        <w:t xml:space="preserve"> </w:t>
      </w:r>
      <w:r w:rsidRPr="00992B72">
        <w:rPr>
          <w:b/>
          <w:noProof/>
        </w:rPr>
        <w:t>Mutong'wa</w:t>
      </w:r>
      <w:r w:rsidRPr="00992B72">
        <w:t xml:space="preserve"> (</w:t>
      </w:r>
      <w:r w:rsidRPr="00992B72">
        <w:rPr>
          <w:noProof/>
        </w:rPr>
        <w:t>Monash University</w:t>
      </w:r>
      <w:r w:rsidRPr="00992B72">
        <w:t xml:space="preserve">, </w:t>
      </w:r>
      <w:r w:rsidRPr="00992B72">
        <w:rPr>
          <w:noProof/>
        </w:rPr>
        <w:t>South Africa</w:t>
      </w:r>
      <w:r>
        <w:t>)</w:t>
      </w:r>
      <w:r>
        <w:br/>
      </w:r>
      <w:r w:rsidRPr="00992B72">
        <w:rPr>
          <w:i/>
          <w:noProof/>
        </w:rPr>
        <w:t>The Way the State of the Global South Makes itself Visible to its Citizens and how its Citizens Respond to it</w:t>
      </w:r>
    </w:p>
    <w:p w:rsidR="00570602" w:rsidRPr="00570602" w:rsidRDefault="00570602" w:rsidP="00570602">
      <w:pPr>
        <w:rPr>
          <w:noProof/>
          <w:sz w:val="20"/>
          <w:szCs w:val="20"/>
        </w:rPr>
      </w:pPr>
      <w:r w:rsidRPr="00570602">
        <w:rPr>
          <w:noProof/>
          <w:sz w:val="20"/>
          <w:szCs w:val="20"/>
        </w:rPr>
        <w:t>States in the developing world are extremely diverse. However, through all their differences, there are specific characteristics they share that make them similar and place them on equitable terms that allow them to interact with one another. These similarities have led to one category – namely the developing states – being used to describe these states.</w:t>
      </w:r>
    </w:p>
    <w:p w:rsidR="00570602" w:rsidRPr="00570602" w:rsidRDefault="00570602" w:rsidP="00570602">
      <w:pPr>
        <w:rPr>
          <w:noProof/>
          <w:sz w:val="20"/>
          <w:szCs w:val="20"/>
        </w:rPr>
      </w:pPr>
      <w:r w:rsidRPr="00570602">
        <w:rPr>
          <w:noProof/>
          <w:sz w:val="20"/>
          <w:szCs w:val="20"/>
        </w:rPr>
        <w:t>One such similarity is the way in which the developing state interacts with its citizens and the way in which citizens respond. This is strikingly similar throughout the developing world, regardless of where you travel to. I begin by describing the main ways in which the state makes itself seen to its citizens and how its citizens respond to experiencing the state in the developing world. I define the three main ways in which the state makes itself seen to citizens: through government buildings (physical presence), through government personnel (person to person interactions) and through state-sponsored elections. I provide examples of how the State achieves this using Ghana’s health system to demonstrate the physical presence of the state; the Kransdorp municipal council in Cape Town, South Africa and the Nyarugenge municipal council in Kigali, Rwanda to demonstrate government personnel interactions and the elections that took place in Kenya in 2007/2008 to illustrate elections.</w:t>
      </w:r>
    </w:p>
    <w:p w:rsidR="00570602" w:rsidRPr="00570602" w:rsidRDefault="00570602" w:rsidP="00570602">
      <w:pPr>
        <w:rPr>
          <w:noProof/>
          <w:sz w:val="20"/>
          <w:szCs w:val="20"/>
        </w:rPr>
      </w:pPr>
      <w:r w:rsidRPr="00570602">
        <w:rPr>
          <w:noProof/>
          <w:sz w:val="20"/>
          <w:szCs w:val="20"/>
        </w:rPr>
        <w:t>Towards the end of the essay, I highlight the passive, active and aggressive ways citizens respond to the way the state chooses to make itself seen. Finally, I give a short case study of South Africa and the Defiance Campaign, Sharpeville Massacre and Umkhonto We Sizwe (Spear of the Nation) that demonstrate the responses by citizens respectively.</w:t>
      </w:r>
    </w:p>
    <w:p w:rsidR="00570602" w:rsidRPr="00570602" w:rsidRDefault="00570602" w:rsidP="00570602">
      <w:pPr>
        <w:rPr>
          <w:sz w:val="20"/>
          <w:szCs w:val="20"/>
        </w:rPr>
      </w:pPr>
      <w:r w:rsidRPr="00570602">
        <w:rPr>
          <w:noProof/>
          <w:sz w:val="20"/>
          <w:szCs w:val="20"/>
        </w:rPr>
        <w:t>To conclude, I mention the three ways the state makes itself visible to its citizens in the developing world. The opinion that the developing state is effective as citizen response evidences that the state is visible is one I explain as part of the conclusion.</w:t>
      </w:r>
    </w:p>
    <w:p w:rsidR="00570602" w:rsidRDefault="00570602" w:rsidP="00DD7B70"/>
    <w:p w:rsidR="00956774" w:rsidRPr="000177F4" w:rsidRDefault="00956774" w:rsidP="00DD7B70"/>
    <w:p w:rsidR="006564AB" w:rsidRPr="008F0D2E" w:rsidRDefault="006564AB" w:rsidP="00956774">
      <w:pPr>
        <w:pStyle w:val="Heading2"/>
      </w:pPr>
      <w:bookmarkStart w:id="50" w:name="_Toc501711937"/>
      <w:r w:rsidRPr="008F0D2E">
        <w:t xml:space="preserve">Session 9B (Warwick </w:t>
      </w:r>
      <w:r w:rsidR="000177F4">
        <w:t>University, UK</w:t>
      </w:r>
      <w:r w:rsidR="00570602">
        <w:t>, Sussex University</w:t>
      </w:r>
      <w:r w:rsidR="000177F4">
        <w:t xml:space="preserve"> </w:t>
      </w:r>
      <w:r w:rsidRPr="008F0D2E">
        <w:t>&amp; Baruch</w:t>
      </w:r>
      <w:r w:rsidR="000177F4">
        <w:t xml:space="preserve"> College, City University of New York, USA</w:t>
      </w:r>
      <w:r w:rsidRPr="008F0D2E">
        <w:t>)</w:t>
      </w:r>
      <w:bookmarkEnd w:id="50"/>
      <w:r w:rsidRPr="008F0D2E">
        <w:t xml:space="preserve"> </w:t>
      </w:r>
    </w:p>
    <w:p w:rsidR="00EB58C1" w:rsidRPr="00956774" w:rsidRDefault="000177F4" w:rsidP="00DD7B70">
      <w:pPr>
        <w:rPr>
          <w:rStyle w:val="SubtleEmphasis"/>
        </w:rPr>
      </w:pPr>
      <w:r w:rsidRPr="00956774">
        <w:rPr>
          <w:rStyle w:val="SubtleEmphasis"/>
        </w:rPr>
        <w:t xml:space="preserve">Theme: </w:t>
      </w:r>
      <w:r w:rsidR="00570602" w:rsidRPr="00570602">
        <w:rPr>
          <w:rStyle w:val="SubtleEmphasis"/>
        </w:rPr>
        <w:t>Spaces, Communities and Culture</w:t>
      </w:r>
    </w:p>
    <w:p w:rsidR="00956774" w:rsidRDefault="00956774" w:rsidP="00DD7B70">
      <w:pPr>
        <w:rPr>
          <w:b/>
        </w:rPr>
      </w:pPr>
    </w:p>
    <w:p w:rsidR="00AE3402" w:rsidRPr="00992B72" w:rsidRDefault="00AE3402" w:rsidP="00AE3402">
      <w:r w:rsidRPr="00992B72">
        <w:rPr>
          <w:b/>
          <w:noProof/>
        </w:rPr>
        <w:t>Tanzila</w:t>
      </w:r>
      <w:r w:rsidRPr="00992B72">
        <w:rPr>
          <w:b/>
        </w:rPr>
        <w:t xml:space="preserve"> </w:t>
      </w:r>
      <w:r w:rsidRPr="00992B72">
        <w:rPr>
          <w:b/>
          <w:noProof/>
        </w:rPr>
        <w:t>Mahmood</w:t>
      </w:r>
      <w:r w:rsidRPr="00992B72">
        <w:t xml:space="preserve"> (</w:t>
      </w:r>
      <w:r w:rsidRPr="00992B72">
        <w:rPr>
          <w:noProof/>
        </w:rPr>
        <w:t>Baruch College, CUNY</w:t>
      </w:r>
      <w:r w:rsidRPr="00992B72">
        <w:t xml:space="preserve">, </w:t>
      </w:r>
      <w:r w:rsidRPr="00992B72">
        <w:rPr>
          <w:noProof/>
        </w:rPr>
        <w:t>USA</w:t>
      </w:r>
      <w:r>
        <w:t>)</w:t>
      </w:r>
      <w:r>
        <w:br/>
      </w:r>
      <w:r w:rsidRPr="00992B72">
        <w:rPr>
          <w:i/>
          <w:noProof/>
        </w:rPr>
        <w:t>From the Art Mecca to the Commercialised Tourist Pit: SoHo’s cultural transformation from the 1950s to present day</w:t>
      </w:r>
    </w:p>
    <w:p w:rsidR="00AE3402" w:rsidRPr="00AE3402" w:rsidRDefault="00AE3402" w:rsidP="00AE3402">
      <w:pPr>
        <w:rPr>
          <w:noProof/>
          <w:sz w:val="20"/>
          <w:szCs w:val="20"/>
        </w:rPr>
      </w:pPr>
      <w:r w:rsidRPr="00AE3402">
        <w:rPr>
          <w:noProof/>
          <w:sz w:val="20"/>
          <w:szCs w:val="20"/>
        </w:rPr>
        <w:lastRenderedPageBreak/>
        <w:t xml:space="preserve">New Yorkers and tourists share a unique and paradoxical relationship that can be determined through analysing primary sources from the residents of the city. The paradox explored is important, as it is an additional contribution to a body of work analysing the effects of tourism on native populations, which includes theorists such as Hal Rothman, who cites his arguments in </w:t>
      </w:r>
      <w:r w:rsidRPr="00AE3402">
        <w:rPr>
          <w:i/>
          <w:noProof/>
          <w:sz w:val="20"/>
          <w:szCs w:val="20"/>
        </w:rPr>
        <w:t>The Devils Bargain</w:t>
      </w:r>
      <w:r w:rsidRPr="00AE3402">
        <w:rPr>
          <w:noProof/>
          <w:sz w:val="20"/>
          <w:szCs w:val="20"/>
        </w:rPr>
        <w:t>. Although tourism is economically beneficial for the city, New Yorkers simultaneously view tourism negatively as it dilutes the culture of its famous neighbourhoods.</w:t>
      </w:r>
    </w:p>
    <w:p w:rsidR="00AE3402" w:rsidRPr="00AE3402" w:rsidRDefault="00AE3402" w:rsidP="00AE3402">
      <w:pPr>
        <w:rPr>
          <w:noProof/>
          <w:sz w:val="20"/>
          <w:szCs w:val="20"/>
        </w:rPr>
      </w:pPr>
      <w:r w:rsidRPr="00AE3402">
        <w:rPr>
          <w:noProof/>
          <w:sz w:val="20"/>
          <w:szCs w:val="20"/>
        </w:rPr>
        <w:t>The SoHo example in relation to Rothman’s theory can explain how the emergence of mass tourism ultimately excludes the original inhabitants of the location; therefore, the population hesitates to embrace tourism positively. Historical analysis outlines the emergence of SoHo’s artist community, gentrification and mass commercial tourism. The findings of the paper align the SoHo example with Rothman’s theory on mass tourism as the profits generated from the site’s tourism would not be seen by artists who initiated its success; they are displaced out of the neighbourhood once it garners more economic potential. This means the SoHo artists are not able to reside or create art in the neighbourhood they created and fought hard to maintain.</w:t>
      </w:r>
    </w:p>
    <w:p w:rsidR="00AE3402" w:rsidRPr="00AE3402" w:rsidRDefault="00AE3402" w:rsidP="00AE3402">
      <w:pPr>
        <w:rPr>
          <w:sz w:val="20"/>
          <w:szCs w:val="20"/>
        </w:rPr>
      </w:pPr>
      <w:r w:rsidRPr="00AE3402">
        <w:rPr>
          <w:noProof/>
          <w:sz w:val="20"/>
          <w:szCs w:val="20"/>
        </w:rPr>
        <w:t>The data was obtained through qualitative historical research from databases and libraries. Primary sources, such as interviews from artists and tour guide accounts, in conjunction with historical secondary sources were the foundation for the paper. It is hoped that this research can potentially raise awareness for the preservation of the SoHo art community.</w:t>
      </w:r>
    </w:p>
    <w:p w:rsidR="00956774" w:rsidRDefault="00956774" w:rsidP="00DD7B70"/>
    <w:p w:rsidR="00AE3402" w:rsidRPr="00992B72" w:rsidRDefault="00AE3402" w:rsidP="00AE3402">
      <w:r w:rsidRPr="00992B72">
        <w:rPr>
          <w:b/>
          <w:noProof/>
        </w:rPr>
        <w:t>Hanxiao (Helen)</w:t>
      </w:r>
      <w:r w:rsidRPr="00992B72">
        <w:rPr>
          <w:b/>
        </w:rPr>
        <w:t xml:space="preserve"> </w:t>
      </w:r>
      <w:r w:rsidRPr="00992B72">
        <w:rPr>
          <w:b/>
          <w:noProof/>
        </w:rPr>
        <w:t>Yue</w:t>
      </w:r>
      <w:r w:rsidRPr="00992B72">
        <w:t xml:space="preserve"> (</w:t>
      </w:r>
      <w:r w:rsidRPr="00992B72">
        <w:rPr>
          <w:noProof/>
        </w:rPr>
        <w:t>Baruch College, CUNY</w:t>
      </w:r>
      <w:r w:rsidRPr="00992B72">
        <w:t xml:space="preserve">, </w:t>
      </w:r>
      <w:r w:rsidRPr="00992B72">
        <w:rPr>
          <w:noProof/>
        </w:rPr>
        <w:t>USA</w:t>
      </w:r>
      <w:r>
        <w:t>)</w:t>
      </w:r>
      <w:r>
        <w:br/>
      </w:r>
      <w:r w:rsidRPr="00992B72">
        <w:rPr>
          <w:i/>
          <w:noProof/>
        </w:rPr>
        <w:t>Analysis of Volatility in US Equity Markets in Years 2007–2014 in the Framework of FOMC Meeting Minutes and Statements</w:t>
      </w:r>
    </w:p>
    <w:p w:rsidR="00AE3402" w:rsidRPr="00AE3402" w:rsidRDefault="00AE3402" w:rsidP="00AE3402">
      <w:pPr>
        <w:rPr>
          <w:sz w:val="20"/>
          <w:szCs w:val="20"/>
        </w:rPr>
      </w:pPr>
      <w:r w:rsidRPr="00AE3402">
        <w:rPr>
          <w:noProof/>
          <w:sz w:val="20"/>
          <w:szCs w:val="20"/>
        </w:rPr>
        <w:t>The Federal Open Market Committee (FOMC) is the principal maker of monetary policy in the United States. The main instrument of monetary policy is the target federal funds rate, which is de facto the base interest rate of the US economy. The FOMC meets around eight times a year to discuss the economic outlook and decide on this metric. Throughout most of its history, the Federal Reserve (‘the Fed’) has been opaque about how it decides on monetary policy, but in recent years it has adopted a more transparent disclosure policy. Currently, for each FOMC meeting, a brief statement is released immediately after the meeting, summarising the economic outlook and target federal funds rate it will be implementing. Three weeks later, the full minutes of the meeting are released. Using the data and statistical analysis packages of R, this paper investigates if, and how, the release of the statement and the release of the minutes impact market volatility in the US equities market and the market for the federal funds rate in the sample 2007–2014. This period encompasses the recent financial crisis, recession and recovery years through a novel approach of looking at individual years and through two subsample groups, which represent the peak years of the crisis (2007–2010) and the period of gradual recovery (2011–2014). I use hypothesis testing to determine if the sample volatility of the different groups are significantly different from each other. For US equity markets, I found that the volatility on FOMC meeting days is significantly different from the volatility on a control set of non-meeting days, but during the Crisis subsample, average intraday volatility tended to be higher than the volatility on FOMC meeting days. This contrasts from the observations detected in studies of earlier years, which show that volatility on FOMC minutes days is larger than volatility on non-meeting days. Also, in general, FOMC meeting statements released immediately at the end of the meetings affected markets more than FOMC minutes, which were released after a three-week delay. In addition, I find that on days of FOMC activity, intraday volatility levels after the release of the information were significantly higher than before the release. Also, in contrast to studies of earlier time periods, we see that the market for the federal funds rate was overall, not as affected by the FOMC activities studied. A likely cause of this phenomenon is the unusual zero interest rate policy (ZIRP) enacted by the Fed from 2008 until the end of the sample (2014), which the Fed clearly communicated to the markets. This study is interesting because it shows that the years of financial crisis exhibit market behaviour that was different from normal market conditions, and further investigations can reveal useful insights on how markets behave under stressful and uncertain economic environments.</w:t>
      </w:r>
    </w:p>
    <w:p w:rsidR="00AE3402" w:rsidRDefault="00AE3402" w:rsidP="00DD7B70"/>
    <w:p w:rsidR="00AE3402" w:rsidRPr="00992B72" w:rsidRDefault="00AE3402" w:rsidP="00AE3402">
      <w:r w:rsidRPr="00992B72">
        <w:rPr>
          <w:b/>
          <w:noProof/>
        </w:rPr>
        <w:t>Laura</w:t>
      </w:r>
      <w:r w:rsidRPr="00992B72">
        <w:rPr>
          <w:b/>
        </w:rPr>
        <w:t xml:space="preserve"> </w:t>
      </w:r>
      <w:r w:rsidRPr="00992B72">
        <w:rPr>
          <w:b/>
          <w:noProof/>
        </w:rPr>
        <w:t>Mitchell</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A Comparison of the Arrangement of Greek Antiquities in Exhibitions in the Louvre and the British Museum</w:t>
      </w:r>
    </w:p>
    <w:p w:rsidR="00AE3402" w:rsidRPr="00AE3402" w:rsidRDefault="00AE3402" w:rsidP="00AE3402">
      <w:pPr>
        <w:rPr>
          <w:noProof/>
          <w:sz w:val="20"/>
          <w:szCs w:val="20"/>
        </w:rPr>
      </w:pPr>
      <w:r w:rsidRPr="00AE3402">
        <w:rPr>
          <w:noProof/>
          <w:sz w:val="20"/>
          <w:szCs w:val="20"/>
        </w:rPr>
        <w:t>An often overlooked and neglected consideration when visiting a museum is the arrangement and layout of the exhibitions. While we attend museums to view the artefacts they hold, it is important to understand that the spatial display of these items adds to our experience and understanding of displays. Two of the world’s preeminent museums, the British Museum in London and the Louvre, Paris, hold extensive international artefacts and therefore will be used as studies to explore the topic of exhibition arrangement. By focusing on both a French and a British Museum, there will be the opportunity to compare not only the displays but also how the culture and history of the places have impacted upon the display design.</w:t>
      </w:r>
    </w:p>
    <w:p w:rsidR="00AE3402" w:rsidRPr="00AE3402" w:rsidRDefault="00AE3402" w:rsidP="00AE3402">
      <w:pPr>
        <w:rPr>
          <w:sz w:val="20"/>
          <w:szCs w:val="20"/>
        </w:rPr>
      </w:pPr>
      <w:r w:rsidRPr="00AE3402">
        <w:rPr>
          <w:noProof/>
          <w:sz w:val="20"/>
          <w:szCs w:val="20"/>
        </w:rPr>
        <w:t>As the museums have such diverse and extensive collections, my focus will be purely on an exhibition that they both hold in common; Greek antiquities. I will consider the approaches of the Greek antiquities curators, such as Peter Higgs, when organising the artefacts for display and look at what factors are considered, e.g. environment, size of room, lighting, eyelines and thematic or chronological approaches to the layout. Through interviews with these curators, I hope to get a more in-depth, personal insight into the displays and their adaptations as well as diversifying my research from other studies, which are more focused on advising and instructing general museum display. However, my research will also consider how museums adapt displays to successfully appeal to their varied audiences, a topic that has already been considered in other studies but not in specific relation to these museums and exhibitions.</w:t>
      </w:r>
    </w:p>
    <w:p w:rsidR="00AE3402" w:rsidRDefault="00AE3402" w:rsidP="00DD7B70"/>
    <w:p w:rsidR="00AE3402" w:rsidRPr="00992B72" w:rsidRDefault="00AE3402" w:rsidP="00AE3402">
      <w:r w:rsidRPr="00992B72">
        <w:rPr>
          <w:b/>
          <w:noProof/>
        </w:rPr>
        <w:t>Phinn</w:t>
      </w:r>
      <w:r w:rsidRPr="00992B72">
        <w:rPr>
          <w:b/>
        </w:rPr>
        <w:t xml:space="preserve"> </w:t>
      </w:r>
      <w:r w:rsidRPr="00992B72">
        <w:rPr>
          <w:b/>
          <w:noProof/>
        </w:rPr>
        <w:t>Jennings</w:t>
      </w:r>
      <w:r w:rsidRPr="00992B72">
        <w:t xml:space="preserve"> (</w:t>
      </w:r>
      <w:r w:rsidRPr="00992B72">
        <w:rPr>
          <w:noProof/>
        </w:rPr>
        <w:t>Sussex University</w:t>
      </w:r>
      <w:r w:rsidRPr="00992B72">
        <w:t xml:space="preserve">, </w:t>
      </w:r>
      <w:r w:rsidRPr="00992B72">
        <w:rPr>
          <w:noProof/>
        </w:rPr>
        <w:t>UK</w:t>
      </w:r>
      <w:r>
        <w:t>)</w:t>
      </w:r>
      <w:r>
        <w:br/>
      </w:r>
      <w:r w:rsidRPr="00992B72">
        <w:rPr>
          <w:i/>
          <w:noProof/>
        </w:rPr>
        <w:t>Shame and Emotional Responses to Art: A feminist approach</w:t>
      </w:r>
    </w:p>
    <w:p w:rsidR="00AE3402" w:rsidRPr="00AE3402" w:rsidRDefault="00AE3402" w:rsidP="00AE3402">
      <w:pPr>
        <w:rPr>
          <w:noProof/>
          <w:sz w:val="20"/>
          <w:szCs w:val="20"/>
        </w:rPr>
      </w:pPr>
      <w:r w:rsidRPr="00AE3402">
        <w:rPr>
          <w:noProof/>
          <w:sz w:val="20"/>
          <w:szCs w:val="20"/>
        </w:rPr>
        <w:t xml:space="preserve">Jean-Paul Sartre’s phenomenological account of shame characterises it as an emotion that arises when one is frozen by the gaze of another. To Sartre, shame alienated us from our true selves by making us aware of our inescapable physicality and outward appearance. Many feminists hold that women, through frequent objectification, internalise this shame, which then becomes what Luna Dolezal terms ‘chronic shame’. As something inherent to their lived experience, chronic shame can influence and visibly manifest itself in the work of women artists such as Louise Bourgeois. However male observers, seldom experiencing chronic shame, often fail to notice this. For example, The </w:t>
      </w:r>
      <w:r w:rsidRPr="00AE3402">
        <w:rPr>
          <w:i/>
          <w:noProof/>
          <w:sz w:val="20"/>
          <w:szCs w:val="20"/>
        </w:rPr>
        <w:t>Secret of the Cells</w:t>
      </w:r>
      <w:r w:rsidRPr="00AE3402">
        <w:rPr>
          <w:noProof/>
          <w:sz w:val="20"/>
          <w:szCs w:val="20"/>
        </w:rPr>
        <w:t>, a highly regarded book about Bourgeois, written by two men using exclusively male pronouns, fails to mention shame, objectification or gender outside of direct quotes from Bourgeois.</w:t>
      </w:r>
    </w:p>
    <w:p w:rsidR="00AE3402" w:rsidRPr="00AE3402" w:rsidRDefault="00AE3402" w:rsidP="00AE3402">
      <w:pPr>
        <w:rPr>
          <w:noProof/>
          <w:sz w:val="20"/>
          <w:szCs w:val="20"/>
        </w:rPr>
      </w:pPr>
      <w:r w:rsidRPr="00AE3402">
        <w:rPr>
          <w:noProof/>
          <w:sz w:val="20"/>
          <w:szCs w:val="20"/>
        </w:rPr>
        <w:t>My research uses interviews with men and women based around a number of works of art to explore the question of whether the work of women artists can be fully understood (and thus appreciated and valued) by those who have not experienced and do not understand the chronic shame that such works are inspired by and allude to. If this is the case, the implications are vast. In an art world where buyers and critics are mostly men, their incomplete assessment of such works may go a way to explain their financial and theoretical undervaluing.</w:t>
      </w:r>
    </w:p>
    <w:p w:rsidR="00AE3402" w:rsidRPr="00AE3402" w:rsidRDefault="00AE3402" w:rsidP="00AE3402">
      <w:pPr>
        <w:rPr>
          <w:sz w:val="20"/>
          <w:szCs w:val="20"/>
        </w:rPr>
      </w:pPr>
      <w:r w:rsidRPr="00AE3402">
        <w:rPr>
          <w:noProof/>
          <w:sz w:val="20"/>
          <w:szCs w:val="20"/>
        </w:rPr>
        <w:t xml:space="preserve">This research explores the diminishing role, value and agency of women in reproductive decisions, linking contemporary politics with dystopian and utopian fiction, ultimately aiming to answer the question of whether a stark change in gender relations to reproduction and its control is possible, and will it free or oppress women? This will be achieved through a discussion structured in four themed parts, each based around a feminist analysis of certain key texts. Part One: ‘The Beginning’, explores the iconic works of Margret Atwood; Part Two: ‘Female Only Utopia’, explores </w:t>
      </w:r>
      <w:r w:rsidRPr="00AE3402">
        <w:rPr>
          <w:i/>
          <w:noProof/>
          <w:sz w:val="20"/>
          <w:szCs w:val="20"/>
        </w:rPr>
        <w:t>The Power, Her Land</w:t>
      </w:r>
      <w:r w:rsidRPr="00AE3402">
        <w:rPr>
          <w:noProof/>
          <w:sz w:val="20"/>
          <w:szCs w:val="20"/>
        </w:rPr>
        <w:t xml:space="preserve"> and </w:t>
      </w:r>
      <w:r w:rsidRPr="00AE3402">
        <w:rPr>
          <w:i/>
          <w:noProof/>
          <w:sz w:val="20"/>
          <w:szCs w:val="20"/>
        </w:rPr>
        <w:t>The Wayward</w:t>
      </w:r>
      <w:r w:rsidRPr="00AE3402">
        <w:rPr>
          <w:noProof/>
          <w:sz w:val="20"/>
          <w:szCs w:val="20"/>
        </w:rPr>
        <w:t xml:space="preserve"> </w:t>
      </w:r>
      <w:r w:rsidRPr="00AE3402">
        <w:rPr>
          <w:i/>
          <w:noProof/>
          <w:sz w:val="20"/>
          <w:szCs w:val="20"/>
        </w:rPr>
        <w:t>Pines</w:t>
      </w:r>
      <w:r w:rsidRPr="00AE3402">
        <w:rPr>
          <w:noProof/>
          <w:sz w:val="20"/>
          <w:szCs w:val="20"/>
        </w:rPr>
        <w:t xml:space="preserve"> </w:t>
      </w:r>
      <w:r w:rsidRPr="00AE3402">
        <w:rPr>
          <w:i/>
          <w:noProof/>
          <w:sz w:val="20"/>
          <w:szCs w:val="20"/>
        </w:rPr>
        <w:t>Trilogy</w:t>
      </w:r>
      <w:r w:rsidRPr="00AE3402">
        <w:rPr>
          <w:noProof/>
          <w:sz w:val="20"/>
          <w:szCs w:val="20"/>
        </w:rPr>
        <w:t xml:space="preserve">; Part Three: ‘Apocalyptic Medical Visions’ explores such texts as </w:t>
      </w:r>
      <w:r w:rsidRPr="00AE3402">
        <w:rPr>
          <w:i/>
          <w:noProof/>
          <w:sz w:val="20"/>
          <w:szCs w:val="20"/>
        </w:rPr>
        <w:t>Never Let Me Go</w:t>
      </w:r>
      <w:r w:rsidRPr="00AE3402">
        <w:rPr>
          <w:noProof/>
          <w:sz w:val="20"/>
          <w:szCs w:val="20"/>
        </w:rPr>
        <w:t xml:space="preserve"> and </w:t>
      </w:r>
      <w:r w:rsidRPr="00AE3402">
        <w:rPr>
          <w:i/>
          <w:noProof/>
          <w:sz w:val="20"/>
          <w:szCs w:val="20"/>
        </w:rPr>
        <w:t>Brave New World</w:t>
      </w:r>
      <w:r w:rsidRPr="00AE3402">
        <w:rPr>
          <w:noProof/>
          <w:sz w:val="20"/>
          <w:szCs w:val="20"/>
        </w:rPr>
        <w:t xml:space="preserve">. Lastly, Part Four: ‘Women’s Rights of Tomorrow’, explores </w:t>
      </w:r>
      <w:r w:rsidRPr="00AE3402">
        <w:rPr>
          <w:i/>
          <w:noProof/>
          <w:sz w:val="20"/>
          <w:szCs w:val="20"/>
        </w:rPr>
        <w:t>To Room Nineteen</w:t>
      </w:r>
      <w:r w:rsidRPr="00AE3402">
        <w:rPr>
          <w:noProof/>
          <w:sz w:val="20"/>
          <w:szCs w:val="20"/>
        </w:rPr>
        <w:t xml:space="preserve"> and </w:t>
      </w:r>
      <w:r w:rsidRPr="00AE3402">
        <w:rPr>
          <w:i/>
          <w:noProof/>
          <w:sz w:val="20"/>
          <w:szCs w:val="20"/>
        </w:rPr>
        <w:t>Woman on the Edge of Time</w:t>
      </w:r>
      <w:r w:rsidRPr="00AE3402">
        <w:rPr>
          <w:noProof/>
          <w:sz w:val="20"/>
          <w:szCs w:val="20"/>
        </w:rPr>
        <w:t xml:space="preserve">. These fictional texts will be analysed with the aid of key critical texts varying in publication dates and locations to provide an </w:t>
      </w:r>
      <w:r w:rsidRPr="00AE3402">
        <w:rPr>
          <w:noProof/>
          <w:sz w:val="20"/>
          <w:szCs w:val="20"/>
        </w:rPr>
        <w:lastRenderedPageBreak/>
        <w:t>intersectional viewpoint of women’s plight across the spectra of race, gender identification, sexuality and class. The subsequent discussion highlights such areas as the history of changes to reproductive thought and female bodily agency, along with the rising technological and political control of reproduction and the effects of such control upon women. From the discussion and analysis of these past texts concerning the future, it is hoped that this research will provide timely and crucial insights into the current and future position of women in having the freedom to make, and indeed the power to make, their own choices regarding reproduction. This research caught the eyes of the publishing team at The Left Book Club, who are now organising to publish a digestible version of the research findings for a public readership.</w:t>
      </w:r>
    </w:p>
    <w:p w:rsidR="00956774" w:rsidRPr="008F0D2E" w:rsidRDefault="00956774" w:rsidP="00DD7B70"/>
    <w:p w:rsidR="006564AB" w:rsidRPr="00956774" w:rsidRDefault="006564AB" w:rsidP="00956774">
      <w:pPr>
        <w:pStyle w:val="Heading2"/>
        <w:rPr>
          <w:rStyle w:val="SubtleEmphasis"/>
        </w:rPr>
      </w:pPr>
      <w:bookmarkStart w:id="51" w:name="_Toc501711938"/>
      <w:r w:rsidRPr="008F0D2E">
        <w:t>Session 9C (Warwick</w:t>
      </w:r>
      <w:r w:rsidR="00553957">
        <w:t xml:space="preserve"> University</w:t>
      </w:r>
      <w:r w:rsidRPr="008F0D2E">
        <w:t>,</w:t>
      </w:r>
      <w:r w:rsidR="00553957">
        <w:t xml:space="preserve"> UK</w:t>
      </w:r>
      <w:r w:rsidR="00AE3402">
        <w:t>)</w:t>
      </w:r>
      <w:bookmarkEnd w:id="51"/>
    </w:p>
    <w:p w:rsidR="006564AB" w:rsidRPr="00956774" w:rsidRDefault="00AE3402" w:rsidP="00DD7B70">
      <w:pPr>
        <w:rPr>
          <w:rStyle w:val="SubtleEmphasis"/>
        </w:rPr>
      </w:pPr>
      <w:r>
        <w:rPr>
          <w:rStyle w:val="SubtleEmphasis"/>
        </w:rPr>
        <w:t>Offline Session</w:t>
      </w:r>
    </w:p>
    <w:p w:rsidR="00AE3402" w:rsidRPr="00AE3402" w:rsidRDefault="00AE3402" w:rsidP="00AE3402">
      <w:r w:rsidRPr="00992B72">
        <w:rPr>
          <w:b/>
          <w:noProof/>
        </w:rPr>
        <w:t>Joshua</w:t>
      </w:r>
      <w:r w:rsidRPr="00992B72">
        <w:rPr>
          <w:b/>
        </w:rPr>
        <w:t xml:space="preserve"> </w:t>
      </w:r>
      <w:r w:rsidRPr="00992B72">
        <w:rPr>
          <w:b/>
          <w:noProof/>
        </w:rPr>
        <w:t>Schulze</w:t>
      </w:r>
      <w:r w:rsidRPr="00992B72">
        <w:t xml:space="preserve"> (</w:t>
      </w:r>
      <w:r w:rsidRPr="00992B72">
        <w:rPr>
          <w:noProof/>
        </w:rPr>
        <w:t>University of Warwick</w:t>
      </w:r>
      <w:r w:rsidRPr="00992B72">
        <w:t xml:space="preserve">, </w:t>
      </w:r>
      <w:r w:rsidRPr="00992B72">
        <w:rPr>
          <w:noProof/>
        </w:rPr>
        <w:t>UK</w:t>
      </w:r>
      <w:r>
        <w:t>)</w:t>
      </w:r>
      <w:r>
        <w:br/>
      </w:r>
      <w:r w:rsidRPr="00AE3402">
        <w:rPr>
          <w:i/>
          <w:noProof/>
        </w:rPr>
        <w:t>The Sacred Engine and the Rice Paddy: Unpicking the relationship between globalisation, genre and local space in the films of Bong-Joon-ho</w:t>
      </w:r>
    </w:p>
    <w:p w:rsidR="00AE3402" w:rsidRPr="00AE3402" w:rsidRDefault="00AE3402" w:rsidP="00AE3402">
      <w:pPr>
        <w:rPr>
          <w:noProof/>
          <w:sz w:val="20"/>
          <w:szCs w:val="20"/>
        </w:rPr>
      </w:pPr>
      <w:r w:rsidRPr="00AE3402">
        <w:rPr>
          <w:noProof/>
          <w:sz w:val="20"/>
          <w:szCs w:val="20"/>
        </w:rPr>
        <w:t>Globalisation is a subject discussed in various fields and disciplines, but rarely in the context of cinematic genre. Although Hollywood has historically perpetuated standardised models, and essentially written the rules of genre adherence, little research has been conducted on the effect it has had on other cultures and their respective national cinemas. In the 1990s, South Korea began to develop its own national cinema that could compete with the importation of Hollywood films, and establish a national cultural identity. The films themselves suffered a quandary of desiring to be unique and nationally specific, while only having the American generic models to take influence from.</w:t>
      </w:r>
    </w:p>
    <w:p w:rsidR="00AE3402" w:rsidRPr="00AE3402" w:rsidRDefault="00AE3402" w:rsidP="00AE3402">
      <w:pPr>
        <w:rPr>
          <w:sz w:val="20"/>
          <w:szCs w:val="20"/>
        </w:rPr>
      </w:pPr>
      <w:r w:rsidRPr="00AE3402">
        <w:rPr>
          <w:noProof/>
          <w:sz w:val="20"/>
          <w:szCs w:val="20"/>
        </w:rPr>
        <w:t>Following the recent trend that has found several popular South Korean filmmakers being invited to make films in Hollywood, my paper examines the work of one – Bong Joon-ho – in the context of globalisation and its relationship to genre. This paper focuses on three films – Memories of Murder (2003), The Host (2006), and Snowpiercer (2013) as a way of charting Bong’s artistic development and engagement with genre that culminates with his first foray into American blockbuster filmmaking. Using the existing literature on Bong’s filmography and theories of globalisation’s effect on culture by Fredric Jameson, Franco Moretti and Paul James, I analyse the films closely and in their national and industrial contexts to unpick their engagement with genre, and their implications in the wider discourse of globalisation. The paper contributes to the discussion of globalisation and locality, to the threat of cultural specificity such a process poses, and to the ways film can inform us on these issues.</w:t>
      </w:r>
    </w:p>
    <w:p w:rsidR="00956774" w:rsidRDefault="00956774" w:rsidP="00DD7B70"/>
    <w:p w:rsidR="00AE3402" w:rsidRPr="00992B72" w:rsidRDefault="00AE3402" w:rsidP="00AE3402">
      <w:r w:rsidRPr="00992B72">
        <w:rPr>
          <w:b/>
          <w:noProof/>
        </w:rPr>
        <w:t>Alexander</w:t>
      </w:r>
      <w:r w:rsidRPr="00992B72">
        <w:rPr>
          <w:b/>
        </w:rPr>
        <w:t xml:space="preserve"> </w:t>
      </w:r>
      <w:r w:rsidRPr="00992B72">
        <w:rPr>
          <w:b/>
          <w:noProof/>
        </w:rPr>
        <w:t>Grinberg</w:t>
      </w:r>
      <w:r w:rsidRPr="00992B72">
        <w:t xml:space="preserve"> (</w:t>
      </w:r>
      <w:r w:rsidRPr="00992B72">
        <w:rPr>
          <w:noProof/>
        </w:rPr>
        <w:t>Baruch College, CUNY</w:t>
      </w:r>
      <w:r w:rsidRPr="00992B72">
        <w:t xml:space="preserve">, </w:t>
      </w:r>
      <w:r w:rsidRPr="00992B72">
        <w:rPr>
          <w:noProof/>
        </w:rPr>
        <w:t>USA</w:t>
      </w:r>
      <w:r>
        <w:t>)</w:t>
      </w:r>
      <w:r>
        <w:br/>
      </w:r>
      <w:r w:rsidRPr="00992B72">
        <w:rPr>
          <w:i/>
          <w:noProof/>
        </w:rPr>
        <w:t>NATO, Russia and Europe’s Chessboard: How mutual distrust will lead to conflict</w:t>
      </w:r>
    </w:p>
    <w:p w:rsidR="00AE3402" w:rsidRPr="00AE3402" w:rsidRDefault="00AE3402" w:rsidP="00AE3402">
      <w:pPr>
        <w:rPr>
          <w:sz w:val="20"/>
          <w:szCs w:val="20"/>
        </w:rPr>
      </w:pPr>
      <w:r w:rsidRPr="00AE3402">
        <w:rPr>
          <w:noProof/>
          <w:sz w:val="20"/>
          <w:szCs w:val="20"/>
        </w:rPr>
        <w:t xml:space="preserve">The purpose of this paper is to re-examine a growing ‘us vs. them’ mentality between US-led NATO and Russia. The increased anti-Russian rhetoric in the United States, as well as years of NATO growth, has catalysed tensions between these two powers. Since the collapse of the Soviet Union and the end of the Cold War, NATO did not disband and instead grew through accepting new members. As such, Russia deems NATO to be a critical risk to its national security, and has shifted its foreign policy to more aggressively counter what it deems as ‘NATO expansionism’. Through qualitative research, primarily utilising academic reports and sources, this paper argues that if the United States does not rollback NATO, specifically in the Baltic region, tensions will escalate into an armed conflict with Russia. This paper focuses on the Baltic region as the next potential flashpoint and argues that both parties are in a spiral model as its security dilemma. The spiral model assumes that states operate in a state of anarchy in regards to international relations. Hypothetically, two parties are security seekers, but do not trust each other and assume that the other party is expansionist. Through this fear, both parties increase their military capacities, resulting in further tensions. As a result, both parties are likely to engage in an unwanted war because of their mutual lack of trust. This security dilemma is similar to </w:t>
      </w:r>
      <w:r w:rsidRPr="00AE3402">
        <w:rPr>
          <w:noProof/>
          <w:sz w:val="20"/>
          <w:szCs w:val="20"/>
        </w:rPr>
        <w:lastRenderedPageBreak/>
        <w:t>the current situation between Russia and US-led NATO states. However, the states can reduce tensions through methods such as costly signalling (where nations decrease their military capabilities as a sign of good will) to avoid war. . Lastly, this paper does note that reducing tensions with Russia will likely require re-examining NATO’s role. The implications regarding this paper affect the United States’, NATO’s and Russia’s defensive postures. Through addressing this issue, and raising a new perspective, security seekers can use this research as a tool to address and reduce tensions.</w:t>
      </w:r>
    </w:p>
    <w:p w:rsidR="00AE3402" w:rsidRDefault="00AE3402" w:rsidP="00DD7B70"/>
    <w:p w:rsidR="00AE3402" w:rsidRPr="00992B72" w:rsidRDefault="00AE3402" w:rsidP="00AE3402">
      <w:r w:rsidRPr="00992B72">
        <w:rPr>
          <w:b/>
          <w:noProof/>
        </w:rPr>
        <w:t>Finn</w:t>
      </w:r>
      <w:r w:rsidRPr="00992B72">
        <w:rPr>
          <w:b/>
        </w:rPr>
        <w:t xml:space="preserve"> </w:t>
      </w:r>
      <w:r w:rsidRPr="00992B72">
        <w:rPr>
          <w:b/>
          <w:noProof/>
        </w:rPr>
        <w:t>Halligan</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The Cultural Meanings Ascribed to Navigational Instruments Between c.1600 and c.1800</w:t>
      </w:r>
    </w:p>
    <w:p w:rsidR="00AE3402" w:rsidRPr="00AE3402" w:rsidRDefault="00AE3402" w:rsidP="00AE3402">
      <w:pPr>
        <w:rPr>
          <w:sz w:val="20"/>
          <w:szCs w:val="20"/>
        </w:rPr>
      </w:pPr>
      <w:r w:rsidRPr="00AE3402">
        <w:rPr>
          <w:noProof/>
          <w:sz w:val="20"/>
          <w:szCs w:val="20"/>
        </w:rPr>
        <w:t>The study of navigational instruments has been incorporated into a wider narrative of scientific history. In this narrative, these tools are incorporated into the chronology of scientific discoveries and improvements of the seventeenth and eighteenth centuries. However, studying these objects from a perspective of teleological scientific progress removes the instruments from their social and cultural contexts. In the predisciplinary cultures of Europe, articles of technology were perceived in ways beyond the scientific. The developments of cultural perceptions of navigational instruments during the early modern period reveal a network of interactions emerging in the eighteenth century. With the advent of the public sphere, navigation and navigational technology impinged on the popular consciousness for the first time. Within this public discourse, the importance of navigational technology to imperial and commercial expansion became apparent. As such, established imperial connotations of navigational instruments were consolidated in the eighteenth century. The significance of navigational instruments to expansionism derived, in part, from changes in the intellectual climate in the eighteenth century. As Enlightenment values of empiricism became prevalent in eighteenth-century society, navigational instruments, as mediums of ‘objective knowledge’, became essential to navigators and to the state. To ensure standardised technological and mathematical practice, successive naval administrations, from the seventeenth century, introduced new qualifying examinations and training in navigational techniques became necessary to pilot a navy ship. Navigational instruments, therefore, were a part of a wider network of the Enlightenment: their perception as conduits of objective knowledge in public spaces made them fundamental to imperial growth.</w:t>
      </w:r>
    </w:p>
    <w:p w:rsidR="00AE3402" w:rsidRDefault="00AE3402" w:rsidP="00DD7B70"/>
    <w:p w:rsidR="00AE3402" w:rsidRPr="00992B72" w:rsidRDefault="00AE3402" w:rsidP="00AE3402">
      <w:r w:rsidRPr="00992B72">
        <w:rPr>
          <w:b/>
          <w:noProof/>
        </w:rPr>
        <w:t>Pablo</w:t>
      </w:r>
      <w:r w:rsidRPr="00992B72">
        <w:rPr>
          <w:b/>
        </w:rPr>
        <w:t xml:space="preserve"> </w:t>
      </w:r>
      <w:r w:rsidRPr="00992B72">
        <w:rPr>
          <w:b/>
          <w:noProof/>
        </w:rPr>
        <w:t>Puente Gamero</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 xml:space="preserve">Commentary on Statius’ </w:t>
      </w:r>
      <w:r w:rsidRPr="00992B72">
        <w:rPr>
          <w:noProof/>
        </w:rPr>
        <w:t>Achilleid II</w:t>
      </w:r>
    </w:p>
    <w:p w:rsidR="00AE3402" w:rsidRPr="00AE3402" w:rsidRDefault="00AE3402" w:rsidP="00AE3402">
      <w:pPr>
        <w:rPr>
          <w:noProof/>
          <w:sz w:val="20"/>
          <w:szCs w:val="20"/>
        </w:rPr>
      </w:pPr>
      <w:r w:rsidRPr="00AE3402">
        <w:rPr>
          <w:noProof/>
          <w:sz w:val="20"/>
          <w:szCs w:val="20"/>
        </w:rPr>
        <w:t xml:space="preserve">My research centred around the </w:t>
      </w:r>
      <w:r w:rsidRPr="00AE3402">
        <w:rPr>
          <w:i/>
          <w:noProof/>
          <w:sz w:val="20"/>
          <w:szCs w:val="20"/>
        </w:rPr>
        <w:t>Achilleid</w:t>
      </w:r>
      <w:r w:rsidRPr="00AE3402">
        <w:rPr>
          <w:noProof/>
          <w:sz w:val="20"/>
          <w:szCs w:val="20"/>
        </w:rPr>
        <w:t>, an unfinished epic poem about the life of Achilles by the Roman poet Statius. It acts as an enhancement of the Trojan cycle of myths, as we are introduced to the hero’s childhood and upbringing. The poem is of unique style and touches on the thematic of gender and transvestitism in ancient literature. But due to its fragmentary nature, the volume of commentaries and translations surrounding the work remains scarce.</w:t>
      </w:r>
    </w:p>
    <w:p w:rsidR="00AE3402" w:rsidRPr="00AE3402" w:rsidRDefault="00AE3402" w:rsidP="00AE3402">
      <w:pPr>
        <w:rPr>
          <w:noProof/>
          <w:sz w:val="20"/>
          <w:szCs w:val="20"/>
        </w:rPr>
      </w:pPr>
      <w:r w:rsidRPr="00AE3402">
        <w:rPr>
          <w:noProof/>
          <w:sz w:val="20"/>
          <w:szCs w:val="20"/>
        </w:rPr>
        <w:t xml:space="preserve">With my project, I aimed to further explore the epic’s makeup by composing a line-by-line commentary of the </w:t>
      </w:r>
      <w:r w:rsidRPr="00AE3402">
        <w:rPr>
          <w:i/>
          <w:noProof/>
          <w:sz w:val="20"/>
          <w:szCs w:val="20"/>
        </w:rPr>
        <w:t>Achilleid</w:t>
      </w:r>
      <w:r w:rsidRPr="00AE3402">
        <w:rPr>
          <w:noProof/>
          <w:sz w:val="20"/>
          <w:szCs w:val="20"/>
        </w:rPr>
        <w:t xml:space="preserve">’s second book, focusing on its position within the epic tradition. There are few precedents for this, the most authoritative being Dilke (1954), which allowed for rare freedom while treating the text. My work mostly involved primary sources from both Greek and Roman authors (especially the </w:t>
      </w:r>
      <w:r w:rsidRPr="00AE3402">
        <w:rPr>
          <w:i/>
          <w:noProof/>
          <w:sz w:val="20"/>
          <w:szCs w:val="20"/>
        </w:rPr>
        <w:t>Aeneid</w:t>
      </w:r>
      <w:r w:rsidRPr="00AE3402">
        <w:rPr>
          <w:noProof/>
          <w:sz w:val="20"/>
          <w:szCs w:val="20"/>
        </w:rPr>
        <w:t xml:space="preserve"> and the Homeric epics).</w:t>
      </w:r>
    </w:p>
    <w:p w:rsidR="00AE3402" w:rsidRPr="00AE3402" w:rsidRDefault="00AE3402" w:rsidP="00AE3402">
      <w:pPr>
        <w:rPr>
          <w:sz w:val="20"/>
          <w:szCs w:val="20"/>
        </w:rPr>
      </w:pPr>
      <w:r w:rsidRPr="00AE3402">
        <w:rPr>
          <w:noProof/>
          <w:sz w:val="20"/>
          <w:szCs w:val="20"/>
        </w:rPr>
        <w:t xml:space="preserve">Besides providing a guide to translating the poem, my results allow insight into the work’s composition: it presents itself as a mediation between Homeric sources and the Latin language of epic, largely drawing on Vergil’s </w:t>
      </w:r>
      <w:r w:rsidRPr="00AE3402">
        <w:rPr>
          <w:i/>
          <w:noProof/>
          <w:sz w:val="20"/>
          <w:szCs w:val="20"/>
        </w:rPr>
        <w:t>Aeneid</w:t>
      </w:r>
      <w:r w:rsidRPr="00AE3402">
        <w:rPr>
          <w:noProof/>
          <w:sz w:val="20"/>
          <w:szCs w:val="20"/>
        </w:rPr>
        <w:t>. By applying a common method to a scarcely studied poem, my commentary adds to a growing set of writings on Latin imperial epic, enhancing our appreciation of a genre that has only recently begun to attract widespread attention.</w:t>
      </w:r>
    </w:p>
    <w:p w:rsidR="00956774" w:rsidRDefault="00956774" w:rsidP="00DD7B70"/>
    <w:p w:rsidR="00956774" w:rsidRPr="008F0D2E" w:rsidRDefault="00956774" w:rsidP="00956774">
      <w:pPr>
        <w:pStyle w:val="Heading1"/>
        <w:jc w:val="center"/>
      </w:pPr>
      <w:bookmarkStart w:id="52" w:name="_Toc501711939"/>
      <w:r>
        <w:lastRenderedPageBreak/>
        <w:t>SESSION 10</w:t>
      </w:r>
      <w:bookmarkEnd w:id="52"/>
    </w:p>
    <w:p w:rsidR="00956774" w:rsidRDefault="00956774" w:rsidP="00DD7B70">
      <w:pPr>
        <w:rPr>
          <w:b/>
        </w:rPr>
      </w:pPr>
    </w:p>
    <w:p w:rsidR="006564AB" w:rsidRPr="008F0D2E" w:rsidRDefault="006564AB" w:rsidP="00956774">
      <w:pPr>
        <w:pStyle w:val="Heading2"/>
      </w:pPr>
      <w:bookmarkStart w:id="53" w:name="_Toc501711940"/>
      <w:r w:rsidRPr="008F0D2E">
        <w:t>Session 10A (Warwick</w:t>
      </w:r>
      <w:r w:rsidR="00B63372">
        <w:t xml:space="preserve"> University, UK</w:t>
      </w:r>
      <w:r w:rsidRPr="008F0D2E">
        <w:t xml:space="preserve"> &amp; </w:t>
      </w:r>
      <w:r w:rsidR="00AE3402">
        <w:t>Baruch College, City University of New York, USA)</w:t>
      </w:r>
      <w:bookmarkEnd w:id="53"/>
      <w:r w:rsidRPr="008F0D2E">
        <w:t xml:space="preserve"> </w:t>
      </w:r>
    </w:p>
    <w:p w:rsidR="00AE3402" w:rsidRDefault="00B63372" w:rsidP="00DD7B70">
      <w:pPr>
        <w:rPr>
          <w:rStyle w:val="SubtleEmphasis"/>
        </w:rPr>
      </w:pPr>
      <w:r w:rsidRPr="00956774">
        <w:rPr>
          <w:rStyle w:val="SubtleEmphasis"/>
        </w:rPr>
        <w:t xml:space="preserve">Theme: </w:t>
      </w:r>
      <w:r w:rsidR="00AE3402" w:rsidRPr="00AE3402">
        <w:rPr>
          <w:rStyle w:val="SubtleEmphasis"/>
        </w:rPr>
        <w:t>Drugs and the Body</w:t>
      </w:r>
    </w:p>
    <w:p w:rsidR="00AE3402" w:rsidRDefault="00AE3402" w:rsidP="00DD7B70">
      <w:pPr>
        <w:rPr>
          <w:rStyle w:val="SubtleEmphasis"/>
        </w:rPr>
      </w:pPr>
    </w:p>
    <w:p w:rsidR="00AE3402" w:rsidRPr="00992B72" w:rsidRDefault="00AE3402" w:rsidP="00AE3402">
      <w:r w:rsidRPr="00992B72">
        <w:rPr>
          <w:b/>
          <w:noProof/>
        </w:rPr>
        <w:t>Harriet</w:t>
      </w:r>
      <w:r w:rsidRPr="00992B72">
        <w:rPr>
          <w:b/>
        </w:rPr>
        <w:t xml:space="preserve"> </w:t>
      </w:r>
      <w:r w:rsidRPr="00992B72">
        <w:rPr>
          <w:b/>
          <w:noProof/>
        </w:rPr>
        <w:t>James</w:t>
      </w:r>
      <w:r w:rsidR="00C64477">
        <w:rPr>
          <w:b/>
          <w:noProof/>
        </w:rPr>
        <w:t xml:space="preserve"> &amp; Hannah Forde</w:t>
      </w:r>
      <w:r w:rsidRPr="00992B72">
        <w:t xml:space="preserve"> (</w:t>
      </w:r>
      <w:r w:rsidRPr="00992B72">
        <w:rPr>
          <w:noProof/>
        </w:rPr>
        <w:t>University of Warwick</w:t>
      </w:r>
      <w:r w:rsidRPr="00992B72">
        <w:t xml:space="preserve">, </w:t>
      </w:r>
      <w:r w:rsidRPr="00992B72">
        <w:rPr>
          <w:noProof/>
        </w:rPr>
        <w:t>UK</w:t>
      </w:r>
      <w:r w:rsidRPr="00992B72">
        <w:t>)</w:t>
      </w:r>
      <w:r w:rsidR="00C64477">
        <w:br/>
      </w:r>
      <w:r w:rsidRPr="00992B72">
        <w:rPr>
          <w:i/>
          <w:noProof/>
        </w:rPr>
        <w:t>A Study Looking at the Effects of Idealised Body Images and Exercise Participation on Body Satisfaction</w:t>
      </w:r>
    </w:p>
    <w:p w:rsidR="00AE3402" w:rsidRPr="00C64477" w:rsidRDefault="00AE3402" w:rsidP="00AE3402">
      <w:pPr>
        <w:rPr>
          <w:sz w:val="20"/>
          <w:szCs w:val="20"/>
        </w:rPr>
      </w:pPr>
      <w:r w:rsidRPr="00C64477">
        <w:rPr>
          <w:noProof/>
          <w:sz w:val="20"/>
          <w:szCs w:val="20"/>
        </w:rPr>
        <w:t>It has been found that as little as five minutes of exposure to media images can have a negative impact on self-esteem and body image. This study looked at the effects of exposure to media images on body image in 202 university students to determine whether this effect was mediated by the participation in either team or individual sports. Participants were randomly assigned to either the Experimental Condition, where they were exposed to media images of idealized bodies, or the Control Condition, where they were exposed to neutral images. It was found that participants who were exposed to images of ideal media body types had higher body dissatisfaction. In particular, females were found to have a greater BMI discrepancy due to viewing themselves as larger than they were, and males were found to be the opposite. In addition, sport was found to not mediate the effects of media exposure, with athletes in both individual and team sport reporting the same levels of body dissatisfaction.</w:t>
      </w:r>
    </w:p>
    <w:p w:rsidR="00C64477" w:rsidRDefault="00F10D8F" w:rsidP="00DD7B70">
      <w:pPr>
        <w:rPr>
          <w:rStyle w:val="SubtleEmphasis"/>
        </w:rPr>
      </w:pPr>
      <w:r w:rsidRPr="00956774">
        <w:rPr>
          <w:rStyle w:val="SubtleEmphasis"/>
        </w:rPr>
        <w:t xml:space="preserve"> </w:t>
      </w:r>
    </w:p>
    <w:p w:rsidR="00C64477" w:rsidRPr="00992B72" w:rsidRDefault="00C64477" w:rsidP="00C64477">
      <w:r w:rsidRPr="00992B72">
        <w:rPr>
          <w:b/>
          <w:noProof/>
        </w:rPr>
        <w:t>Lady</w:t>
      </w:r>
      <w:r w:rsidRPr="00992B72">
        <w:rPr>
          <w:b/>
        </w:rPr>
        <w:t xml:space="preserve"> </w:t>
      </w:r>
      <w:r w:rsidRPr="00992B72">
        <w:rPr>
          <w:b/>
          <w:noProof/>
        </w:rPr>
        <w:t>Cardenas</w:t>
      </w:r>
      <w:r w:rsidRPr="00992B72">
        <w:t xml:space="preserve"> (</w:t>
      </w:r>
      <w:r w:rsidRPr="00992B72">
        <w:rPr>
          <w:noProof/>
        </w:rPr>
        <w:t>Baruch College, CUNY</w:t>
      </w:r>
      <w:r w:rsidRPr="00992B72">
        <w:t xml:space="preserve">, </w:t>
      </w:r>
      <w:r w:rsidRPr="00992B72">
        <w:rPr>
          <w:noProof/>
        </w:rPr>
        <w:t>USA</w:t>
      </w:r>
      <w:r>
        <w:t>)</w:t>
      </w:r>
      <w:r>
        <w:br/>
      </w:r>
      <w:r w:rsidRPr="00992B72">
        <w:rPr>
          <w:i/>
          <w:noProof/>
        </w:rPr>
        <w:t>The Effect of Methoprene on Larval Mortality</w:t>
      </w:r>
    </w:p>
    <w:p w:rsidR="00C64477" w:rsidRPr="00C64477" w:rsidRDefault="00C64477" w:rsidP="00C64477">
      <w:pPr>
        <w:rPr>
          <w:sz w:val="20"/>
          <w:szCs w:val="20"/>
        </w:rPr>
      </w:pPr>
      <w:r w:rsidRPr="00C64477">
        <w:rPr>
          <w:noProof/>
          <w:sz w:val="20"/>
          <w:szCs w:val="20"/>
        </w:rPr>
        <w:t>Humans react differently to certain drugs due to their genotypes: while some are really sensitive and react to the drug’s effects, others are unaffected by it. Ideally, people would only be prescribed drugs that work for their genotypes. In our experiment, we wanted to know how genetic variation or certain mutations, affect drug sensitivity. Juvenile hormone (JH) plays a special role in insect development. When present with the hormone ecdysone, JH usually induces larval moulting, sloughing its skin to allow growth into a larger larva until it is big enough to undergo metamorphosis. When this happens, the JH hormone production is stopped and only the ecdysone hormone production remains, inducing pupal formation before the emergence of an adult. JH thus inhibits metamorphosis. Fruit flies have larval stages followed by pupa formation to begin metamorphosis into an adult. A JH analogue, methoprene, is used as an insecticide that disrupts metamorphosis preventing adulthood. In this experiment, 93 genotypes were treated with methoprene at the third instar larval stage and scored for dead wandering third instar larvae. We found variability in the number of dead larvae, the most being from the DGRP line genotype 21. We then conducted a Genome-wide Association Study on the percentage of dead larvae to seek a correlation between mutations and methoprene sensitivity; we found about 1000 associations p&lt;.00005. To see if any mutations fell within ecdysone or methoprene target genes, the results were then intersected with known methoprene-tolerant and ecdysone receptor DNA binding sites from ChIP-seq analysis using the online program Galaxy. Two mutations overlapped with the edysone receptor DNA binding sites, around the region between the gene ecdysone inducible protein 74EF at locations 17551305 and 17551309 of chromosome 3L. There are also mutations in genes wrts, scrib, Dgl1 and Fj, which play part of the conserved HIPPO pathway. The HIPPO pathway has not been associated with juvenile hormone pathway previously. We will next test to see if mutations in just these genes increase methoprene sensitivity. This study supports the hypothesis that natural variation alters drug sensitivity.</w:t>
      </w:r>
    </w:p>
    <w:p w:rsidR="00C64477" w:rsidRDefault="00C64477" w:rsidP="00DD7B70">
      <w:pPr>
        <w:rPr>
          <w:rStyle w:val="SubtleEmphasis"/>
        </w:rPr>
      </w:pPr>
    </w:p>
    <w:p w:rsidR="00C64477" w:rsidRDefault="00C64477" w:rsidP="00C64477">
      <w:r w:rsidRPr="00992B72">
        <w:rPr>
          <w:b/>
          <w:noProof/>
        </w:rPr>
        <w:lastRenderedPageBreak/>
        <w:t>Frankie</w:t>
      </w:r>
      <w:r w:rsidRPr="00992B72">
        <w:rPr>
          <w:b/>
        </w:rPr>
        <w:t xml:space="preserve"> </w:t>
      </w:r>
      <w:r w:rsidRPr="00992B72">
        <w:rPr>
          <w:b/>
          <w:noProof/>
        </w:rPr>
        <w:t>Benavides</w:t>
      </w:r>
      <w:r w:rsidRPr="00992B72">
        <w:t xml:space="preserve"> (</w:t>
      </w:r>
      <w:r w:rsidRPr="00992B72">
        <w:rPr>
          <w:noProof/>
        </w:rPr>
        <w:t>Baruch College, CUNY</w:t>
      </w:r>
      <w:r w:rsidRPr="00992B72">
        <w:t xml:space="preserve">, </w:t>
      </w:r>
      <w:r w:rsidRPr="00992B72">
        <w:rPr>
          <w:noProof/>
        </w:rPr>
        <w:t>USA</w:t>
      </w:r>
      <w:r>
        <w:t>)</w:t>
      </w:r>
      <w:r>
        <w:br/>
      </w:r>
      <w:r w:rsidRPr="00992B72">
        <w:rPr>
          <w:i/>
          <w:noProof/>
        </w:rPr>
        <w:t>Isomerisation of Ibuprofen</w:t>
      </w:r>
    </w:p>
    <w:p w:rsidR="00C64477" w:rsidRPr="00C64477" w:rsidRDefault="00C64477" w:rsidP="00C64477">
      <w:r w:rsidRPr="00C64477">
        <w:rPr>
          <w:noProof/>
          <w:sz w:val="20"/>
          <w:szCs w:val="20"/>
        </w:rPr>
        <w:t>Many people take ibuprofen, the anti-inflammatory drug, and do not understand the process that occurs in the body. Ibuprofen is sold as a racemic mixture. The R enantiomer is the inactive conformer while the S enantiomer is the active conformer. Ibuprofen inhibits inflammation but also undergoes isomerisation. This process occurs when the (R)-ibuprofen isomerises to the (S)- ibuprofen. Isomerisation can also happen in both polar and non-polar solvents indicating that the solvents do not affect whether isomerisation occurs. This may indicate that the process requires an intramolecular reaction to occur. The process of the isomerisation of ibuprofen is not fully understood.</w:t>
      </w:r>
    </w:p>
    <w:p w:rsidR="00C64477" w:rsidRPr="00C64477" w:rsidRDefault="00C64477" w:rsidP="00C64477">
      <w:pPr>
        <w:rPr>
          <w:sz w:val="20"/>
          <w:szCs w:val="20"/>
        </w:rPr>
      </w:pPr>
      <w:r w:rsidRPr="00C64477">
        <w:rPr>
          <w:noProof/>
          <w:sz w:val="20"/>
          <w:szCs w:val="20"/>
        </w:rPr>
        <w:t>Using computational means, three types of possible intramolecular mechanism were found. These mechanisms were used to determine the possible way in which ibuprofen isomerises. The keto–enol tautomerism mechanism requires 73 kcals/mol. The mechanism that contains a hydrogen transfer to the benzene ring requires 80 kcals/mol. The last mechanism requires an inversion at the chiral centre and is much higher than 109 kcals/mol. The keto–enol tautomerism mechanism requires the least amount of energy and is thus the most feasible out of the three intramolecular pathways. Each mechanism is of very high energy and therefore there must be another means to which isomerisation occurs. Future research includes looking at acid catalyst reactions and studying the effects that tunnelling may have on the isomerisation of ibuprofen.</w:t>
      </w:r>
    </w:p>
    <w:p w:rsidR="00C64477" w:rsidRDefault="00C64477" w:rsidP="00DD7B70">
      <w:pPr>
        <w:rPr>
          <w:rStyle w:val="SubtleEmphasis"/>
        </w:rPr>
      </w:pPr>
    </w:p>
    <w:p w:rsidR="00C64477" w:rsidRPr="00992B72" w:rsidRDefault="00C64477" w:rsidP="00C64477">
      <w:r w:rsidRPr="00992B72">
        <w:rPr>
          <w:b/>
          <w:noProof/>
        </w:rPr>
        <w:t>Andrzej</w:t>
      </w:r>
      <w:r w:rsidRPr="00992B72">
        <w:rPr>
          <w:b/>
        </w:rPr>
        <w:t xml:space="preserve"> </w:t>
      </w:r>
      <w:r w:rsidRPr="00992B72">
        <w:rPr>
          <w:b/>
          <w:noProof/>
        </w:rPr>
        <w:t>Zacharjasz</w:t>
      </w:r>
      <w:r w:rsidRPr="00992B72">
        <w:t xml:space="preserve"> (</w:t>
      </w:r>
      <w:r w:rsidRPr="00992B72">
        <w:rPr>
          <w:noProof/>
        </w:rPr>
        <w:t>University of Warwick</w:t>
      </w:r>
      <w:r w:rsidRPr="00992B72">
        <w:t xml:space="preserve">, </w:t>
      </w:r>
      <w:r w:rsidRPr="00992B72">
        <w:rPr>
          <w:noProof/>
        </w:rPr>
        <w:t>UK</w:t>
      </w:r>
      <w:r>
        <w:t>)</w:t>
      </w:r>
      <w:r>
        <w:br/>
      </w:r>
      <w:r w:rsidRPr="00992B72">
        <w:rPr>
          <w:i/>
          <w:noProof/>
        </w:rPr>
        <w:t>Recipient Need and Donor Interest. What matters more?</w:t>
      </w:r>
    </w:p>
    <w:p w:rsidR="00C64477" w:rsidRPr="00C64477" w:rsidRDefault="00C64477" w:rsidP="00C64477">
      <w:pPr>
        <w:rPr>
          <w:noProof/>
          <w:sz w:val="20"/>
          <w:szCs w:val="20"/>
        </w:rPr>
      </w:pPr>
      <w:r w:rsidRPr="00C64477">
        <w:rPr>
          <w:noProof/>
          <w:sz w:val="20"/>
          <w:szCs w:val="20"/>
        </w:rPr>
        <w:t>This research paper attempts to investigate the criteria used by donor states to allocate Official Development Assistance (ODA) which is defined as all grants and concessional loans with a minimum 25% grant element. The study combines the datasets created by Alesina and Dollar (2000) and Dreher and Fuchs (2011), covering aid streams between 1960–1995 from nine different donors.</w:t>
      </w:r>
    </w:p>
    <w:p w:rsidR="00C64477" w:rsidRPr="00C64477" w:rsidRDefault="00C64477" w:rsidP="00C64477">
      <w:pPr>
        <w:rPr>
          <w:noProof/>
          <w:sz w:val="20"/>
          <w:szCs w:val="20"/>
        </w:rPr>
      </w:pPr>
      <w:r w:rsidRPr="00C64477">
        <w:rPr>
          <w:noProof/>
          <w:sz w:val="20"/>
          <w:szCs w:val="20"/>
        </w:rPr>
        <w:t>To account for the shortcomings of the existing literature, rather than assessing recipient need and donor interest variables separately, this paper adopts a hybrid model that includes both types of variables. Moreover, this study accounts for the left-censored nature of ODA – donors often allocate zero aid due to resources constraints – by employing a Tobit I model. This type of Regression Analysis describes a one stage process, where the donor country decides between allocating a positive or zero amount of aid to a given recipient, ceteris paribus.</w:t>
      </w:r>
    </w:p>
    <w:p w:rsidR="00C64477" w:rsidRPr="00C64477" w:rsidRDefault="00C64477" w:rsidP="00C64477">
      <w:pPr>
        <w:rPr>
          <w:sz w:val="20"/>
          <w:szCs w:val="20"/>
        </w:rPr>
      </w:pPr>
      <w:r w:rsidRPr="00C64477">
        <w:rPr>
          <w:noProof/>
          <w:sz w:val="20"/>
          <w:szCs w:val="20"/>
        </w:rPr>
        <w:t>Subsequent results invalidate some of the existing conclusions and show that altruistic considerations play a significant role when explaining aid outflows. Notably, the US appears to be more altruistic than it has previously been suggested. Nonetheless, findings also exhibit important differences across donors, with some of them attaching a great deal of importance to their own political or economic interests. For instance, most donors tend to favour their former colonies or political allies such as Egypt. Thus, this paper supports the view that aid effectiveness might be partially undermined by a donor interest bias, although this bias might be smaller than previously suggested.</w:t>
      </w:r>
    </w:p>
    <w:p w:rsidR="00900A7E" w:rsidRPr="008F0D2E" w:rsidRDefault="00900A7E" w:rsidP="00DD7B70"/>
    <w:p w:rsidR="00D23BC9" w:rsidRDefault="00D23BC9" w:rsidP="00956774">
      <w:pPr>
        <w:pStyle w:val="Heading1"/>
      </w:pPr>
      <w:bookmarkStart w:id="54" w:name="_Toc501711941"/>
      <w:r>
        <w:t>S</w:t>
      </w:r>
      <w:r w:rsidR="00C64477">
        <w:t>ESSION</w:t>
      </w:r>
      <w:r>
        <w:t xml:space="preserve"> </w:t>
      </w:r>
      <w:r w:rsidR="00C64477">
        <w:t>11</w:t>
      </w:r>
      <w:bookmarkEnd w:id="54"/>
    </w:p>
    <w:p w:rsidR="006564AB" w:rsidRPr="008F0D2E" w:rsidRDefault="00C64477" w:rsidP="00D23BC9">
      <w:pPr>
        <w:pStyle w:val="Heading2"/>
      </w:pPr>
      <w:bookmarkStart w:id="55" w:name="_Toc501711942"/>
      <w:r>
        <w:t xml:space="preserve">Session 11A </w:t>
      </w:r>
      <w:r w:rsidR="006564AB" w:rsidRPr="008F0D2E">
        <w:t>(Monash</w:t>
      </w:r>
      <w:r w:rsidR="00014B5D">
        <w:t xml:space="preserve"> University,</w:t>
      </w:r>
      <w:r w:rsidR="006564AB" w:rsidRPr="008F0D2E">
        <w:t xml:space="preserve"> Australia &amp; Baruch</w:t>
      </w:r>
      <w:r w:rsidR="00014B5D">
        <w:t xml:space="preserve"> College, City University of New York, USA</w:t>
      </w:r>
      <w:r w:rsidR="006564AB" w:rsidRPr="008F0D2E">
        <w:t>)</w:t>
      </w:r>
      <w:bookmarkEnd w:id="55"/>
      <w:r w:rsidR="006564AB" w:rsidRPr="008F0D2E">
        <w:t xml:space="preserve"> </w:t>
      </w:r>
    </w:p>
    <w:p w:rsidR="00900A7E" w:rsidRPr="008F0D2E" w:rsidRDefault="00014B5D" w:rsidP="00DD7B70">
      <w:pPr>
        <w:rPr>
          <w:i/>
        </w:rPr>
      </w:pPr>
      <w:r w:rsidRPr="00014B5D">
        <w:t>Theme:</w:t>
      </w:r>
      <w:r>
        <w:rPr>
          <w:i/>
        </w:rPr>
        <w:t xml:space="preserve"> </w:t>
      </w:r>
      <w:r w:rsidR="00C64477" w:rsidRPr="00C64477">
        <w:rPr>
          <w:i/>
        </w:rPr>
        <w:t>Heroes, Heretics &amp; the Supernatural</w:t>
      </w:r>
      <w:r w:rsidR="00D23BC9">
        <w:rPr>
          <w:i/>
        </w:rPr>
        <w:br/>
      </w:r>
    </w:p>
    <w:p w:rsidR="00C64477" w:rsidRPr="00992B72" w:rsidRDefault="00C64477" w:rsidP="00C64477">
      <w:r w:rsidRPr="00992B72">
        <w:rPr>
          <w:b/>
          <w:noProof/>
        </w:rPr>
        <w:lastRenderedPageBreak/>
        <w:t>Alice</w:t>
      </w:r>
      <w:r w:rsidRPr="00992B72">
        <w:rPr>
          <w:b/>
        </w:rPr>
        <w:t xml:space="preserve"> </w:t>
      </w:r>
      <w:r w:rsidRPr="00992B72">
        <w:rPr>
          <w:b/>
          <w:noProof/>
        </w:rPr>
        <w:t>Capstick</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 xml:space="preserve">The Rise of the Antihero in Contemporary Fantasy: A critical comparison between John Milton’s </w:t>
      </w:r>
      <w:r w:rsidRPr="00992B72">
        <w:rPr>
          <w:noProof/>
        </w:rPr>
        <w:t>Paradise Lost</w:t>
      </w:r>
      <w:r w:rsidRPr="00992B72">
        <w:rPr>
          <w:i/>
          <w:noProof/>
        </w:rPr>
        <w:t xml:space="preserve"> and Brent Weeks’ </w:t>
      </w:r>
      <w:r w:rsidRPr="00992B72">
        <w:rPr>
          <w:noProof/>
        </w:rPr>
        <w:t>The Lightbringer Series</w:t>
      </w:r>
    </w:p>
    <w:p w:rsidR="00C64477" w:rsidRPr="001145DF" w:rsidRDefault="00C64477" w:rsidP="00C64477">
      <w:pPr>
        <w:rPr>
          <w:sz w:val="20"/>
          <w:szCs w:val="20"/>
        </w:rPr>
      </w:pPr>
      <w:r w:rsidRPr="001145DF">
        <w:rPr>
          <w:noProof/>
          <w:sz w:val="20"/>
          <w:szCs w:val="20"/>
        </w:rPr>
        <w:t xml:space="preserve">In 1949 Joseph Campbell published </w:t>
      </w:r>
      <w:r w:rsidRPr="001145DF">
        <w:rPr>
          <w:i/>
          <w:noProof/>
          <w:sz w:val="20"/>
          <w:szCs w:val="20"/>
        </w:rPr>
        <w:t>The Hero with A Thousand Faces</w:t>
      </w:r>
      <w:r w:rsidRPr="001145DF">
        <w:rPr>
          <w:noProof/>
          <w:sz w:val="20"/>
          <w:szCs w:val="20"/>
        </w:rPr>
        <w:t xml:space="preserve"> – a landmark in understanding the structure and purpose of literary heroes. Campbell’s monomyth argues that the journey of all heroes consists of their ‘departure’, ‘initiation’ and ‘return’ of traditional heroic figures. This model translated well into seminal works of epic fantasy fiction; however, it is exclusive to ‘pure’ heroes and excludes problematic heroic archetypes, the likes of which are popular in contemporary fantasy. These heroes do not align with Campbell’s model, yet, readers and scholars still classify these heroes as ‘heroic’, or, as antiheroes. Milton’s Satan was the first literary antihero to truly divide scholarly opinion. By comparing Satan to the protagonist from a well-known work of contemporary fantasy, I argue an alternative to Campbell’s monomyth: that the ‘departure’ initiation’ and ‘return’ of the hero’s journey, translates to the ‘rise’ ‘reign’ and ‘ruin’ of the antihero’s journey. This model examines processes of characterisation variant to Campbell’s interpretation. The hero’s ‘rise’ is dominated by their rebellious and self-righteous nature. The ‘reign’ of the antihero is often short-lived and dominated by their tortured past. The antihero’s ‘ruin’ usually occurs because they succumb to this tortured past, or become blinded by their power and ambition and make a rash choice. This structure acknowledges and encompasses the problematic heroic archetypes that dominate contemporary construction of heroic characters and explores what makes these heroes so inspiring and attractive to contemporary readers.</w:t>
      </w:r>
    </w:p>
    <w:p w:rsidR="00956774" w:rsidRDefault="00956774" w:rsidP="00DD7B70">
      <w:pPr>
        <w:rPr>
          <w:b/>
        </w:rPr>
      </w:pPr>
    </w:p>
    <w:p w:rsidR="00C64477" w:rsidRPr="00992B72" w:rsidRDefault="00C64477" w:rsidP="00C64477">
      <w:r w:rsidRPr="00992B72">
        <w:rPr>
          <w:b/>
          <w:noProof/>
        </w:rPr>
        <w:t>Gianna</w:t>
      </w:r>
      <w:r w:rsidRPr="00992B72">
        <w:rPr>
          <w:b/>
        </w:rPr>
        <w:t xml:space="preserve"> </w:t>
      </w:r>
      <w:r w:rsidRPr="00992B72">
        <w:rPr>
          <w:b/>
          <w:noProof/>
        </w:rPr>
        <w:t>Lenzi</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The Unprepared Soul: Denying heretics proper funerary rites in Mediaeval and Early Modern Europe</w:t>
      </w:r>
    </w:p>
    <w:p w:rsidR="00C64477" w:rsidRPr="001145DF" w:rsidRDefault="00C64477" w:rsidP="00C64477">
      <w:pPr>
        <w:rPr>
          <w:sz w:val="20"/>
          <w:szCs w:val="20"/>
        </w:rPr>
      </w:pPr>
      <w:r w:rsidRPr="001145DF">
        <w:rPr>
          <w:noProof/>
          <w:sz w:val="20"/>
          <w:szCs w:val="20"/>
        </w:rPr>
        <w:t>The concept that the dead only have a place among the living through the actions of the living has never been so apparent as in the burial practices in Mediaeval Christendom. Proper Christian funerary practices were meant to ensure safe passage for the immortal soul into the afterlife, while the actions of the living – namely, prayer and alms-giving – would help purge the soul stalled in Purgatory. For a society in which the preparation for death was not just a means of grieving for those left behind, but a way in which the dead were categorised as saint or sinner for all eternity, the spread of heresies from the twelfth century onwards presented a considerable problem for ecclesiastical authorities. This paper discusses the significance of the denial of proper funerary and burial rites for those denounced as heretics and executed as such, highlighting that neither the heretics’ mortal bodies, nor their immortal souls, were made ready for the afterlife in a manner consistent with accepted Christian teachings. Much of the historical scholarship on this topic focuses on the many politico-religious issues surrounding mediaeval heretical movements. Thus I argue that the denial of funerary rites, so crucial in mediaeval Christian life, is often ignored by the historiography. As a case study, this paper examines Jan Hus of Bohemia (</w:t>
      </w:r>
      <w:r w:rsidRPr="001145DF">
        <w:rPr>
          <w:i/>
          <w:noProof/>
          <w:sz w:val="20"/>
          <w:szCs w:val="20"/>
        </w:rPr>
        <w:t>c</w:t>
      </w:r>
      <w:r w:rsidRPr="001145DF">
        <w:rPr>
          <w:noProof/>
          <w:sz w:val="20"/>
          <w:szCs w:val="20"/>
        </w:rPr>
        <w:t>. 1369–1415) who was denied proper burial rites due to his execution as a heretic.</w:t>
      </w:r>
    </w:p>
    <w:p w:rsidR="00C64477" w:rsidRDefault="00C64477" w:rsidP="00C64477">
      <w:pPr>
        <w:rPr>
          <w:b/>
          <w:noProof/>
        </w:rPr>
      </w:pPr>
    </w:p>
    <w:p w:rsidR="00C64477" w:rsidRPr="00992B72" w:rsidRDefault="00C64477" w:rsidP="00C64477">
      <w:r w:rsidRPr="00992B72">
        <w:rPr>
          <w:b/>
          <w:noProof/>
        </w:rPr>
        <w:t>Goldie</w:t>
      </w:r>
      <w:r w:rsidRPr="00992B72">
        <w:rPr>
          <w:b/>
        </w:rPr>
        <w:t xml:space="preserve"> </w:t>
      </w:r>
      <w:r w:rsidRPr="00992B72">
        <w:rPr>
          <w:b/>
          <w:noProof/>
        </w:rPr>
        <w:t>Gross</w:t>
      </w:r>
      <w:r w:rsidRPr="00992B72">
        <w:t xml:space="preserve"> (</w:t>
      </w:r>
      <w:r w:rsidRPr="00992B72">
        <w:rPr>
          <w:noProof/>
        </w:rPr>
        <w:t>Baruch College, CUNY</w:t>
      </w:r>
      <w:r w:rsidRPr="00992B72">
        <w:t xml:space="preserve">, </w:t>
      </w:r>
      <w:r w:rsidRPr="00992B72">
        <w:rPr>
          <w:noProof/>
        </w:rPr>
        <w:t>USA</w:t>
      </w:r>
      <w:r w:rsidR="000649EB">
        <w:t>)</w:t>
      </w:r>
      <w:r w:rsidR="000649EB">
        <w:br/>
      </w:r>
      <w:r w:rsidRPr="00992B72">
        <w:rPr>
          <w:noProof/>
        </w:rPr>
        <w:t>Parker’s Back</w:t>
      </w:r>
      <w:r w:rsidRPr="00992B72">
        <w:rPr>
          <w:i/>
          <w:noProof/>
        </w:rPr>
        <w:t>: Interpretive sculpture</w:t>
      </w:r>
    </w:p>
    <w:p w:rsidR="00C64477" w:rsidRPr="001145DF" w:rsidRDefault="00C64477" w:rsidP="00C64477">
      <w:pPr>
        <w:rPr>
          <w:sz w:val="20"/>
          <w:szCs w:val="20"/>
        </w:rPr>
      </w:pPr>
      <w:r w:rsidRPr="001145DF">
        <w:rPr>
          <w:noProof/>
          <w:sz w:val="20"/>
          <w:szCs w:val="20"/>
        </w:rPr>
        <w:t xml:space="preserve">In Flannery O’Connor’s </w:t>
      </w:r>
      <w:r w:rsidRPr="001145DF">
        <w:rPr>
          <w:i/>
          <w:noProof/>
          <w:sz w:val="20"/>
          <w:szCs w:val="20"/>
        </w:rPr>
        <w:t>Parker’s Back</w:t>
      </w:r>
      <w:r w:rsidRPr="001145DF">
        <w:rPr>
          <w:noProof/>
          <w:sz w:val="20"/>
          <w:szCs w:val="20"/>
        </w:rPr>
        <w:t xml:space="preserve">, the protagonist, Parker, acts negatively (according to religious standards) but is pure in intent. His wife, Sarah Ruth, is a supposedly pious fundamentalist Protestant, but when her attitude is scrutinised, she begins to seem ungodly. O’Connor’s self-proclaimed goal with her writing was to find ‘grace in territory held by the devil’. My research question was to determine which character played the role of grace, and which character played the role of the devil. I perused scholarly articles on O’Connor, her short story, different definitions of grace and the concept of the devil to draw conclusions. Looking at the story through the lenses of the quote, I found that although the irreligious Parker is not the biblical definition of a saint, he is much more saintly than his fervently religious wife. I argue for the sinner, and manifested my opinion in clay. I sculpted Parker how I believe he would have wanted to be seen. I sculpted him obtaining the </w:t>
      </w:r>
      <w:r w:rsidRPr="001145DF">
        <w:rPr>
          <w:noProof/>
          <w:sz w:val="20"/>
          <w:szCs w:val="20"/>
        </w:rPr>
        <w:lastRenderedPageBreak/>
        <w:t>grace of a tattooed role-model from his youth, and I gave him the happily ever-after he did not get in O’Connor’s short story. This work offers my opinion of Parker’s appearance based on O’Connor’s descriptions and his role in her aforementioned quote, and acknowledges that one’s intentions are sometimes more important than their actions.</w:t>
      </w:r>
    </w:p>
    <w:p w:rsidR="00956774" w:rsidRDefault="00956774" w:rsidP="00DD7B70">
      <w:pPr>
        <w:rPr>
          <w:b/>
        </w:rPr>
      </w:pPr>
    </w:p>
    <w:p w:rsidR="00C64477" w:rsidRDefault="00C64477">
      <w:pPr>
        <w:pStyle w:val="Heading2"/>
      </w:pPr>
      <w:bookmarkStart w:id="56" w:name="_Toc501711943"/>
      <w:r>
        <w:t>Session 11B (Monash University, Australia &amp; Baruch College, Cuty University of New York, USA)</w:t>
      </w:r>
      <w:bookmarkEnd w:id="56"/>
    </w:p>
    <w:p w:rsidR="00C64477" w:rsidRDefault="00C64477" w:rsidP="00C64477">
      <w:pPr>
        <w:rPr>
          <w:i/>
        </w:rPr>
      </w:pPr>
      <w:r>
        <w:rPr>
          <w:i/>
        </w:rPr>
        <w:t xml:space="preserve">Theme: </w:t>
      </w:r>
      <w:r w:rsidRPr="00C64477">
        <w:rPr>
          <w:i/>
        </w:rPr>
        <w:t>Green Cities</w:t>
      </w:r>
    </w:p>
    <w:p w:rsidR="00C64477" w:rsidRDefault="00C64477" w:rsidP="00C64477">
      <w:pPr>
        <w:rPr>
          <w:i/>
        </w:rPr>
      </w:pPr>
    </w:p>
    <w:p w:rsidR="00C64477" w:rsidRPr="00992B72" w:rsidRDefault="00C64477" w:rsidP="00C64477">
      <w:r w:rsidRPr="00992B72">
        <w:rPr>
          <w:b/>
          <w:noProof/>
        </w:rPr>
        <w:t>Claire</w:t>
      </w:r>
      <w:r w:rsidRPr="00992B72">
        <w:rPr>
          <w:b/>
        </w:rPr>
        <w:t xml:space="preserve"> </w:t>
      </w:r>
      <w:r w:rsidRPr="00992B72">
        <w:rPr>
          <w:b/>
          <w:noProof/>
        </w:rPr>
        <w:t>Brace</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Urban Renewal and Gentrification: Bridging the gap, a case study of Brixton</w:t>
      </w:r>
    </w:p>
    <w:p w:rsidR="00C64477" w:rsidRPr="00C64477" w:rsidRDefault="00C64477" w:rsidP="00C64477">
      <w:pPr>
        <w:rPr>
          <w:sz w:val="20"/>
          <w:szCs w:val="20"/>
        </w:rPr>
      </w:pPr>
      <w:r w:rsidRPr="00C64477">
        <w:rPr>
          <w:noProof/>
          <w:sz w:val="20"/>
          <w:szCs w:val="20"/>
        </w:rPr>
        <w:t>Levels of global urban density and the proportion of the world’s population living in cities continue to rise, making an understanding of the process of gentrification and its impacts on society increasingly critical. Gentrification of urban areas results in the displacement of working-class and immigrant populations, changes to housing affordability and the cost of living, and significant shifts in the culture and social structure of communities. However, urban renewal projects largely overlook such impacts, constituting a significant disjuncture between gentrification discourse and that of urban development policy. This gap can be bridged using sustainable development principles, producing more socially, environmentally and economically sustainable communities, thus mitigating the negative impacts of gentrification. Using YouTube footage, social media commentary of ‘Reclaim Brixton’ activists, and interview testimony from local residents, an analysis of the characteristics of gentrification and displacement in the south London suburb of Brixton was conducted. Using the results of this case study, viable alternative models of urban development were evaluated. Analysis indicated a lack of authentic community engagement in urban renewal projects, resulting in an imbalance between project outcomes and community needs. This study highlights the need for an integrated approach to sustainable urban development, balancing economic, environmental and social concerns. It is suggested that use of sustainable development principles, within a New Urbanism framework, would better mitigate the negative impacts of gentrification in Brixton.</w:t>
      </w:r>
    </w:p>
    <w:p w:rsidR="00C64477" w:rsidRDefault="00C64477" w:rsidP="00C64477">
      <w:pPr>
        <w:rPr>
          <w:i/>
        </w:rPr>
      </w:pPr>
    </w:p>
    <w:p w:rsidR="00C64477" w:rsidRPr="00992B72" w:rsidRDefault="00C64477" w:rsidP="00C64477">
      <w:r w:rsidRPr="00992B72">
        <w:rPr>
          <w:b/>
          <w:noProof/>
        </w:rPr>
        <w:t>Iliana</w:t>
      </w:r>
      <w:r w:rsidRPr="00992B72">
        <w:rPr>
          <w:b/>
        </w:rPr>
        <w:t xml:space="preserve"> </w:t>
      </w:r>
      <w:r w:rsidRPr="00C64477">
        <w:rPr>
          <w:b/>
          <w:noProof/>
        </w:rPr>
        <w:t>Gomez</w:t>
      </w:r>
      <w:r w:rsidRPr="00C64477">
        <w:rPr>
          <w:b/>
        </w:rPr>
        <w:t xml:space="preserve"> &amp; Samantha Diaz </w:t>
      </w:r>
      <w:r w:rsidRPr="00992B72">
        <w:t>(</w:t>
      </w:r>
      <w:r w:rsidRPr="00992B72">
        <w:rPr>
          <w:noProof/>
        </w:rPr>
        <w:t>Baruch College, CUNY</w:t>
      </w:r>
      <w:r w:rsidRPr="00992B72">
        <w:t xml:space="preserve">, </w:t>
      </w:r>
      <w:r w:rsidRPr="00992B72">
        <w:rPr>
          <w:noProof/>
        </w:rPr>
        <w:t>USA</w:t>
      </w:r>
      <w:r>
        <w:t>)</w:t>
      </w:r>
      <w:r>
        <w:br/>
      </w:r>
      <w:r w:rsidRPr="00992B72">
        <w:rPr>
          <w:i/>
          <w:noProof/>
        </w:rPr>
        <w:t>Environment by Personality</w:t>
      </w:r>
    </w:p>
    <w:p w:rsidR="00C64477" w:rsidRPr="00C64477" w:rsidRDefault="00C64477" w:rsidP="00C64477">
      <w:pPr>
        <w:rPr>
          <w:noProof/>
          <w:sz w:val="20"/>
          <w:szCs w:val="20"/>
        </w:rPr>
      </w:pPr>
      <w:r w:rsidRPr="00C64477">
        <w:rPr>
          <w:noProof/>
          <w:sz w:val="20"/>
          <w:szCs w:val="20"/>
        </w:rPr>
        <w:t xml:space="preserve">The Earth is currently suffering because of its shift in climate change due to various circumstances such as global warming and increased levels of atmospheric carbon dioxide. Instead of assisting in the mitigation of climate change, humankind is harming the Earth more through our unstainable behaviours. Individual behaviours can be correlated with personality traits that can potentially increase a motivation for pro-environmental action that will benefit society. Previous research found that individuals who scored higher in generativity, the belief that a person’s current behaviour affects future generations, are more likely to act more sustainable. Other studies show that individuals who scored high in nurturance, the trait associated with kindness, are more likely to volunteer for and recommend non-profit organisations. Our study looks further into these two personality traits in the context of one environmental dilemma that assessed participants’ willingness to set aside taxpayers’ dollars for land preservation. These personality traits were measured through a survey given to participants that were assessed using the Loyola Generativity Scale (LGS) and the Nurturing Trait Scale (NTS). We found that personality variables on both scales were related to whether participants answered yes or no to this environmental dilemma. From our findings, we hypothesised that participants who answered yes would score higher on both scales. An independent-sample t-test was conducted to compare yes or no answers to the personality measures. The results showed that on both scales participants who answered no to setting aside taxpayer dollars scored higher in generativity and nurturing; </w:t>
      </w:r>
      <w:r w:rsidRPr="00C64477">
        <w:rPr>
          <w:noProof/>
          <w:sz w:val="20"/>
          <w:szCs w:val="20"/>
        </w:rPr>
        <w:lastRenderedPageBreak/>
        <w:t>two personality traits that have previously been associated with pro-environmentalism. These findings were contrary to our hypothesis, which indicates that relying only on generativity and nurturance as personality variables may not increase the likelihood of individuals behaving in pro-environmental ways. A limitation considered in our study was the small sample size.</w:t>
      </w:r>
    </w:p>
    <w:p w:rsidR="00C64477" w:rsidRDefault="00C64477" w:rsidP="00C64477">
      <w:pPr>
        <w:rPr>
          <w:noProof/>
        </w:rPr>
      </w:pPr>
    </w:p>
    <w:p w:rsidR="00C64477" w:rsidRPr="00992B72" w:rsidRDefault="00C64477" w:rsidP="00C64477">
      <w:r w:rsidRPr="00992B72">
        <w:rPr>
          <w:b/>
          <w:noProof/>
        </w:rPr>
        <w:t>Nicole</w:t>
      </w:r>
      <w:r w:rsidRPr="00992B72">
        <w:rPr>
          <w:b/>
        </w:rPr>
        <w:t xml:space="preserve"> </w:t>
      </w:r>
      <w:r w:rsidRPr="00992B72">
        <w:rPr>
          <w:b/>
          <w:noProof/>
        </w:rPr>
        <w:t>Murphy</w:t>
      </w:r>
      <w:r w:rsidRPr="00992B72">
        <w:t xml:space="preserve"> (</w:t>
      </w:r>
      <w:r w:rsidRPr="00992B72">
        <w:rPr>
          <w:noProof/>
        </w:rPr>
        <w:t>Baruch College, CUNY</w:t>
      </w:r>
      <w:r w:rsidRPr="00992B72">
        <w:t xml:space="preserve">, </w:t>
      </w:r>
      <w:r w:rsidRPr="00992B72">
        <w:rPr>
          <w:noProof/>
        </w:rPr>
        <w:t>USA</w:t>
      </w:r>
      <w:r>
        <w:t>)</w:t>
      </w:r>
      <w:r>
        <w:br/>
      </w:r>
      <w:r w:rsidRPr="00992B72">
        <w:rPr>
          <w:i/>
          <w:noProof/>
        </w:rPr>
        <w:t>The Effects of New York City’s High Line Park</w:t>
      </w:r>
    </w:p>
    <w:p w:rsidR="00C64477" w:rsidRPr="00C64477" w:rsidRDefault="00C64477" w:rsidP="00C64477">
      <w:pPr>
        <w:rPr>
          <w:sz w:val="20"/>
          <w:szCs w:val="20"/>
        </w:rPr>
      </w:pPr>
      <w:r w:rsidRPr="00C64477">
        <w:rPr>
          <w:noProof/>
          <w:sz w:val="20"/>
          <w:szCs w:val="20"/>
        </w:rPr>
        <w:t>New York City is constantly developing to fit the demand of tourism experienced each year. The creation of the High Line Park has alleviated the stress for a recreational setting on the West Side. So, how has the addition of the High Line Park affected the life of residents in New York City? It had an initial intent to offer an environment for residents to step away from the urban atmosphere of New York City, but in some ways failed in meeting that goal. It was redirected towards tourism, gaining popularity through its unique concept of a reconstructed railway transformed into a park. Visitors are attracted to the scenic view of the Hudson River and elevated outlook of the city that is not easily accessible on sidewalks. The attention brought to the West Side of New York City, especially Chelsea and the Meatpacking District, has affected the lives of residents in unexpected ways. The research consists of interviews from political figures in New York City, as well as newspaper articles and guidebooks, which draw insight on first-hand impressions and experiences of the park. Some common criticisms found in this research include the increased cost of living and the severe increase in the rate of tourism due to tourists migrating to the area, which addresses additional issues. This information is important in analysing the perspective of residents versus tourists in New York City. Overall, it has been determined that the High Line Park is an escape from the urban lifestyle of New York City, but is minimal due to the unexpected emphasis on tourism that has been attracted to the area.</w:t>
      </w:r>
    </w:p>
    <w:p w:rsidR="00C64477" w:rsidRPr="00C64477" w:rsidRDefault="00C64477" w:rsidP="00C64477">
      <w:pPr>
        <w:rPr>
          <w:i/>
        </w:rPr>
      </w:pPr>
    </w:p>
    <w:p w:rsidR="00956774" w:rsidRDefault="00956774" w:rsidP="00956774">
      <w:pPr>
        <w:pStyle w:val="Heading1"/>
        <w:jc w:val="center"/>
      </w:pPr>
      <w:bookmarkStart w:id="57" w:name="_Toc501711944"/>
      <w:r>
        <w:t>SESSION 12</w:t>
      </w:r>
      <w:bookmarkEnd w:id="57"/>
    </w:p>
    <w:p w:rsidR="00956774" w:rsidRDefault="00956774" w:rsidP="00DD7B70">
      <w:pPr>
        <w:rPr>
          <w:b/>
        </w:rPr>
      </w:pPr>
    </w:p>
    <w:p w:rsidR="006564AB" w:rsidRPr="008F0D2E" w:rsidRDefault="006564AB" w:rsidP="00956774">
      <w:pPr>
        <w:pStyle w:val="Heading2"/>
      </w:pPr>
      <w:bookmarkStart w:id="58" w:name="_Toc501711945"/>
      <w:r w:rsidRPr="008F0D2E">
        <w:t xml:space="preserve">Session 12A (Monash </w:t>
      </w:r>
      <w:r w:rsidR="00014B5D">
        <w:t xml:space="preserve">University, </w:t>
      </w:r>
      <w:r w:rsidRPr="008F0D2E">
        <w:t>Australia &amp; Kyushu</w:t>
      </w:r>
      <w:r w:rsidR="00014B5D">
        <w:t xml:space="preserve"> University, Japan</w:t>
      </w:r>
      <w:r w:rsidRPr="008F0D2E">
        <w:t>)</w:t>
      </w:r>
      <w:bookmarkEnd w:id="58"/>
      <w:r w:rsidRPr="008F0D2E">
        <w:t xml:space="preserve"> </w:t>
      </w:r>
    </w:p>
    <w:p w:rsidR="00824346" w:rsidRPr="00956774" w:rsidRDefault="00014B5D" w:rsidP="00DD7B70">
      <w:pPr>
        <w:rPr>
          <w:rStyle w:val="SubtleEmphasis"/>
        </w:rPr>
      </w:pPr>
      <w:r w:rsidRPr="00956774">
        <w:rPr>
          <w:rStyle w:val="SubtleEmphasis"/>
        </w:rPr>
        <w:t xml:space="preserve">Theme: </w:t>
      </w:r>
      <w:r w:rsidR="00C64477" w:rsidRPr="00C64477">
        <w:rPr>
          <w:rStyle w:val="SubtleEmphasis"/>
        </w:rPr>
        <w:t>Language, Creativity &amp; Behaviour</w:t>
      </w:r>
    </w:p>
    <w:p w:rsidR="00BF4AE1" w:rsidRDefault="00BF4AE1" w:rsidP="0019738A">
      <w:pPr>
        <w:rPr>
          <w:b/>
          <w:noProof/>
        </w:rPr>
      </w:pPr>
    </w:p>
    <w:p w:rsidR="0019738A" w:rsidRPr="0019738A" w:rsidRDefault="0019738A" w:rsidP="0019738A">
      <w:r w:rsidRPr="00992B72">
        <w:rPr>
          <w:b/>
          <w:noProof/>
        </w:rPr>
        <w:t>Darcy</w:t>
      </w:r>
      <w:r w:rsidRPr="00992B72">
        <w:rPr>
          <w:b/>
        </w:rPr>
        <w:t xml:space="preserve"> </w:t>
      </w:r>
      <w:r w:rsidRPr="00992B72">
        <w:rPr>
          <w:b/>
          <w:noProof/>
        </w:rPr>
        <w:t>Whitworth</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Japan and Australia: A comparative analysis on the role of emotion within the Cultural and Linguistic framework of each society</w:t>
      </w:r>
      <w:r>
        <w:br/>
      </w:r>
      <w:r w:rsidR="000649EB">
        <w:rPr>
          <w:noProof/>
          <w:sz w:val="20"/>
          <w:szCs w:val="20"/>
        </w:rPr>
        <w:br/>
      </w:r>
      <w:r w:rsidRPr="0019738A">
        <w:rPr>
          <w:noProof/>
          <w:sz w:val="20"/>
          <w:szCs w:val="20"/>
        </w:rPr>
        <w:t>Behind the surface of language is the deep structure, the meaning. This in turn, consists of a network of semantic units and the relations between these units (Bamberg, 1997, p. 1). At the heart of this framework are emotions, which are subject to the processes of schematisation, categorisation and cross domain-conceptualisation, intrinsically distinct for each culture (Sharifian, 2017, pp. 138–155). For Japan and Australia, each country holds different and unique cultural conceptualisations and associations with emotion. These feelings, in turn, shed light into how individuals within each society relate to members of their immediate family, cultural belief systems and to their wider community.</w:t>
      </w:r>
    </w:p>
    <w:p w:rsidR="0019738A" w:rsidRPr="0019738A" w:rsidRDefault="0019738A" w:rsidP="0019738A">
      <w:pPr>
        <w:rPr>
          <w:noProof/>
          <w:sz w:val="20"/>
          <w:szCs w:val="20"/>
        </w:rPr>
      </w:pPr>
      <w:r w:rsidRPr="0019738A">
        <w:rPr>
          <w:noProof/>
          <w:sz w:val="20"/>
          <w:szCs w:val="20"/>
        </w:rPr>
        <w:t>The purpose of this research is to identify the key cultural conceptualisations of ‘basic’ emotions such as happiness and sadness in relation to the structure of family, spirituality and speech registers within Japan and Australia. Drawing examples from countries, harnessing relevant academic research journals as well as the analytical tools of cultural linguistics, the project will demonstrate how emotion is heavily entrenched in human experience and cognition.</w:t>
      </w:r>
    </w:p>
    <w:p w:rsidR="0019738A" w:rsidRPr="0019738A" w:rsidRDefault="0019738A" w:rsidP="0019738A">
      <w:pPr>
        <w:rPr>
          <w:noProof/>
          <w:sz w:val="20"/>
          <w:szCs w:val="20"/>
        </w:rPr>
      </w:pPr>
      <w:r w:rsidRPr="0019738A">
        <w:rPr>
          <w:noProof/>
          <w:sz w:val="20"/>
          <w:szCs w:val="20"/>
        </w:rPr>
        <w:lastRenderedPageBreak/>
        <w:t>Ideals such as ‘Kin-ship’ within Aboriginal Australians will be contrasted in relation to the rigid patriarchal structure of the Japanese nuclear family to investigate alternative notions of happiness. Spirituality shown through the Japanese notion of ‘Wabi-sabi’ and Australia’s period of Aboriginal Dreamtime will be deconstructed to investigate individual acceptance and contentment.</w:t>
      </w:r>
    </w:p>
    <w:p w:rsidR="0019738A" w:rsidRPr="0019738A" w:rsidRDefault="0019738A" w:rsidP="0019738A">
      <w:pPr>
        <w:rPr>
          <w:sz w:val="20"/>
          <w:szCs w:val="20"/>
        </w:rPr>
      </w:pPr>
      <w:r w:rsidRPr="0019738A">
        <w:rPr>
          <w:noProof/>
          <w:sz w:val="20"/>
          <w:szCs w:val="20"/>
        </w:rPr>
        <w:t>Finally, the project will look into the structure of language and the culture developed to express registers of emotion. The idea of ‘sadness’ through loss of traditional language will also be touched upon.</w:t>
      </w:r>
    </w:p>
    <w:p w:rsidR="00956774" w:rsidRDefault="00956774" w:rsidP="00DD7B70">
      <w:pPr>
        <w:rPr>
          <w:b/>
        </w:rPr>
      </w:pPr>
    </w:p>
    <w:p w:rsidR="0019738A" w:rsidRPr="0019738A" w:rsidRDefault="0019738A" w:rsidP="0019738A">
      <w:r w:rsidRPr="00992B72">
        <w:rPr>
          <w:b/>
          <w:noProof/>
        </w:rPr>
        <w:t>Johnathon</w:t>
      </w:r>
      <w:r w:rsidRPr="00992B72">
        <w:rPr>
          <w:b/>
        </w:rPr>
        <w:t xml:space="preserve"> </w:t>
      </w:r>
      <w:r w:rsidRPr="00992B72">
        <w:rPr>
          <w:b/>
          <w:noProof/>
        </w:rPr>
        <w:t>Win</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Shaping the Chaos: Musical constructions of power in the compositional and performative contexts</w:t>
      </w:r>
      <w:r w:rsidR="000649EB">
        <w:rPr>
          <w:i/>
          <w:noProof/>
        </w:rPr>
        <w:br/>
      </w:r>
      <w:r>
        <w:br/>
      </w:r>
      <w:r w:rsidRPr="0019738A">
        <w:rPr>
          <w:noProof/>
          <w:sz w:val="20"/>
          <w:szCs w:val="20"/>
        </w:rPr>
        <w:t>Constructions of power are focal to the conception of a creative work. When the composer conceptualises and formalises a musical work, they create a space of power, control, idealism and pragmatism wherein musical strata is subjugated and liberated. This presentation proposes a methodology for assessing constructions of power in the compositional and performative contexts and considers how we may actualise the often nebulous concept of power in order to guide the realisation of a creative work. Thus the scope of this research is concerned with manifestations of power systems and their potential to serve us. Through practice-led research (music composition), I aim to investigate the implications that power has on imposing and informing aesthetic considerations in the conception of a musical work and in its subsequent realisation in the performative context. Qualitative research methods of self-assessment, interviews and music analysis will also be employed to foreground the breadth of power in the creative context. Assessment of these findings will thus influence the aforementioned evaluative methodology for constructions of power and will henceforth serve as a potential impetus for creative practitioners to discern and utilise power as a basis for evaluating and implementing such constructions in their practice.</w:t>
      </w:r>
    </w:p>
    <w:p w:rsidR="0019738A" w:rsidRDefault="0019738A" w:rsidP="00DD7B70">
      <w:pPr>
        <w:rPr>
          <w:b/>
        </w:rPr>
      </w:pPr>
    </w:p>
    <w:p w:rsidR="0019738A" w:rsidRPr="000649EB" w:rsidRDefault="0019738A" w:rsidP="0019738A">
      <w:r w:rsidRPr="00992B72">
        <w:rPr>
          <w:b/>
        </w:rPr>
        <w:t>Ryo Kambaru</w:t>
      </w:r>
      <w:r w:rsidR="000649EB">
        <w:t xml:space="preserve"> (Kyushu University, Japan)</w:t>
      </w:r>
      <w:r w:rsidR="000649EB">
        <w:br/>
      </w:r>
      <w:r w:rsidRPr="00992B72">
        <w:rPr>
          <w:i/>
          <w:lang w:eastAsia="en-GB"/>
        </w:rPr>
        <w:t>Re-examining the Sapir–Whorf Hypothesis: Does language shape the mind and behaviour?</w:t>
      </w:r>
      <w:r>
        <w:rPr>
          <w:i/>
          <w:lang w:eastAsia="en-GB"/>
        </w:rPr>
        <w:br/>
      </w:r>
      <w:r w:rsidR="000649EB">
        <w:rPr>
          <w:sz w:val="20"/>
          <w:szCs w:val="20"/>
        </w:rPr>
        <w:br/>
      </w:r>
      <w:r w:rsidRPr="0019738A">
        <w:rPr>
          <w:sz w:val="20"/>
          <w:szCs w:val="20"/>
        </w:rPr>
        <w:t>The aim of this presentation is to re-examine the ‘Sapir–Whorf Hypothesis’ and discuss how native language influences our mind and behaviour. The ‘Sapir–Whorf Hypothesis’ was proposed by Edward Sapir and Benjamin Whorf, and states that language determines our thoughts and actions. This hypothesis questions and challenges the argument that people can see the world accurately regardless of the difference in language. However, the hypothesis is sometimes criticised, often by linguists who support generative grammar (in short, this is an innate grammar). In my presentation, I will examine the Sapir–Whorf Hypothesis and argue whether this is a good hypothesis by looking at different stages of the hypothesis, criticisms and academic papers that show or imply the influence of language on our mind and behaviour. In order to consider this influence, I refer to academic papers, primarily the research article titled ‘The Effect of Language on Economic Behavio</w:t>
      </w:r>
      <w:r w:rsidR="001A3B5F">
        <w:rPr>
          <w:sz w:val="20"/>
          <w:szCs w:val="20"/>
        </w:rPr>
        <w:t>u</w:t>
      </w:r>
      <w:r w:rsidRPr="0019738A">
        <w:rPr>
          <w:sz w:val="20"/>
          <w:szCs w:val="20"/>
        </w:rPr>
        <w:t>r’ by Keith Chen, an economist at Yale University. This paper shows the influence of language on various factors such as saving behaviours and health behaviours (such as smoking habits). I will then explain how native language affects our minds and behaviours by discussing this data.</w:t>
      </w:r>
    </w:p>
    <w:p w:rsidR="006564AB" w:rsidRPr="008F0D2E" w:rsidRDefault="006564AB" w:rsidP="00956774">
      <w:pPr>
        <w:pStyle w:val="Heading2"/>
      </w:pPr>
      <w:r w:rsidRPr="008F0D2E">
        <w:br/>
      </w:r>
      <w:bookmarkStart w:id="59" w:name="_Toc501711946"/>
      <w:r w:rsidRPr="008F0D2E">
        <w:t xml:space="preserve">Session 12B (Monash </w:t>
      </w:r>
      <w:r w:rsidR="00D00F62">
        <w:t>University, Australia)</w:t>
      </w:r>
      <w:bookmarkEnd w:id="59"/>
      <w:r w:rsidRPr="008F0D2E">
        <w:t xml:space="preserve"> </w:t>
      </w:r>
    </w:p>
    <w:p w:rsidR="00824346" w:rsidRDefault="00014B5D" w:rsidP="00DD7B70">
      <w:pPr>
        <w:rPr>
          <w:rStyle w:val="SubtleEmphasis"/>
        </w:rPr>
      </w:pPr>
      <w:r w:rsidRPr="00956774">
        <w:rPr>
          <w:rStyle w:val="SubtleEmphasis"/>
        </w:rPr>
        <w:t xml:space="preserve">Theme: </w:t>
      </w:r>
      <w:r w:rsidR="0019738A" w:rsidRPr="0019738A">
        <w:rPr>
          <w:rStyle w:val="SubtleEmphasis"/>
        </w:rPr>
        <w:t>The Real and the Supernatura</w:t>
      </w:r>
      <w:r w:rsidR="001A3B5F">
        <w:rPr>
          <w:rStyle w:val="SubtleEmphasis"/>
        </w:rPr>
        <w:t>l</w:t>
      </w:r>
    </w:p>
    <w:p w:rsidR="0019738A" w:rsidRDefault="0019738A" w:rsidP="00DD7B70">
      <w:pPr>
        <w:rPr>
          <w:rStyle w:val="SubtleEmphasis"/>
        </w:rPr>
      </w:pPr>
    </w:p>
    <w:p w:rsidR="0019738A" w:rsidRPr="0019738A" w:rsidRDefault="0019738A" w:rsidP="0019738A">
      <w:r w:rsidRPr="00992B72">
        <w:rPr>
          <w:b/>
          <w:noProof/>
        </w:rPr>
        <w:t>Laura</w:t>
      </w:r>
      <w:r w:rsidRPr="00992B72">
        <w:rPr>
          <w:b/>
        </w:rPr>
        <w:t xml:space="preserve"> </w:t>
      </w:r>
      <w:r w:rsidRPr="00992B72">
        <w:rPr>
          <w:b/>
          <w:noProof/>
        </w:rPr>
        <w:t>Birch</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 xml:space="preserve">Weird Fiction as Mode in China Miéville’s </w:t>
      </w:r>
      <w:r w:rsidRPr="00992B72">
        <w:rPr>
          <w:noProof/>
        </w:rPr>
        <w:t>The City &amp; The City</w:t>
      </w:r>
      <w:r>
        <w:br/>
      </w:r>
      <w:r w:rsidR="000649EB">
        <w:rPr>
          <w:noProof/>
          <w:sz w:val="20"/>
          <w:szCs w:val="20"/>
        </w:rPr>
        <w:br/>
      </w:r>
      <w:r w:rsidRPr="0019738A">
        <w:rPr>
          <w:noProof/>
          <w:sz w:val="20"/>
          <w:szCs w:val="20"/>
        </w:rPr>
        <w:lastRenderedPageBreak/>
        <w:t xml:space="preserve">Weird fiction is a hybrid genre that works across and between science fiction, fantasy, supernatural horror and non-supernatural horror, which can lead to many readings of the same text, drawing in definitions and implications from the component genres. By examining China Miéville’s novel </w:t>
      </w:r>
      <w:r w:rsidRPr="0019738A">
        <w:rPr>
          <w:i/>
          <w:noProof/>
          <w:sz w:val="20"/>
          <w:szCs w:val="20"/>
        </w:rPr>
        <w:t>The City &amp; The City</w:t>
      </w:r>
      <w:r w:rsidRPr="0019738A">
        <w:rPr>
          <w:noProof/>
          <w:sz w:val="20"/>
          <w:szCs w:val="20"/>
        </w:rPr>
        <w:t xml:space="preserve"> – one of the key modern authors of the weird – I investigate the continuing problem of defining the genre. I suggest that it is better to describe the weird as a mode, rather than a genre, as mode is a broader term for a literary mood and is not dependent on genre conventions, which better allows for conflicting readings of the same text. This thesis considers Jan Alber’s reading strategies for ‘unnatural’ narratives and the process of naturalisation which, in Alber’s theory, gives birth to new genres. I suggest that weird tales such as </w:t>
      </w:r>
      <w:r w:rsidRPr="0019738A">
        <w:rPr>
          <w:i/>
          <w:noProof/>
          <w:sz w:val="20"/>
          <w:szCs w:val="20"/>
        </w:rPr>
        <w:t>The City &amp; The City</w:t>
      </w:r>
      <w:r w:rsidRPr="0019738A">
        <w:rPr>
          <w:noProof/>
          <w:sz w:val="20"/>
          <w:szCs w:val="20"/>
        </w:rPr>
        <w:t xml:space="preserve"> resist being naturalised, instead revelling in the multiplicity of possible interpretations and meanings that one text can provide.</w:t>
      </w:r>
    </w:p>
    <w:p w:rsidR="0019738A" w:rsidRPr="00992B72" w:rsidRDefault="0019738A" w:rsidP="0019738A"/>
    <w:p w:rsidR="0019738A" w:rsidRPr="0019738A" w:rsidRDefault="0019738A" w:rsidP="0019738A">
      <w:r w:rsidRPr="00992B72">
        <w:rPr>
          <w:b/>
          <w:noProof/>
        </w:rPr>
        <w:t>Naish</w:t>
      </w:r>
      <w:r w:rsidRPr="00992B72">
        <w:rPr>
          <w:b/>
        </w:rPr>
        <w:t xml:space="preserve"> </w:t>
      </w:r>
      <w:r w:rsidRPr="00992B72">
        <w:rPr>
          <w:b/>
          <w:noProof/>
        </w:rPr>
        <w:t>Gawen</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Political Commitment After Socialist Realism in the Poetry of Dorothy Hewett</w:t>
      </w:r>
      <w:r>
        <w:br/>
      </w:r>
      <w:r w:rsidR="000649EB">
        <w:rPr>
          <w:noProof/>
          <w:sz w:val="20"/>
          <w:szCs w:val="20"/>
        </w:rPr>
        <w:br/>
      </w:r>
      <w:r w:rsidRPr="0019738A">
        <w:rPr>
          <w:noProof/>
          <w:sz w:val="20"/>
          <w:szCs w:val="20"/>
        </w:rPr>
        <w:t>Dorothy Hewett was one of Australia’s foremost left-wing writers, and later in life, confessional poets. She famously split from the Communist Party in 1968 and denounced the strictures of the socialist realism doctrine. In a time when the social purpose of left-wing literature was hotly debated, the ability to sustain political commitment amidst a movement towards a privately oriented confessional poetics is thus a central question for Hewett, for her contemporaries and for scholars interested in the relationship between art and politics. By looking at her early days of direct intervention into national debates through to her later autobiographical work which ostensibly eschews such an engagement and the literary context of the period including heated exchanges with other leading communist writers, the kernel of Hewett’s project can be understood. While departing from strict state-sanctioned aesthetics, a residual communism nevertheless haunts her later work, disfiguring the bourgeois individualist ideology from which her later work emerges.</w:t>
      </w:r>
    </w:p>
    <w:p w:rsidR="0019738A" w:rsidRDefault="0019738A" w:rsidP="00DD7B70">
      <w:pPr>
        <w:rPr>
          <w:rStyle w:val="SubtleEmphasis"/>
        </w:rPr>
      </w:pPr>
    </w:p>
    <w:p w:rsidR="0019738A" w:rsidRPr="0019738A" w:rsidRDefault="0019738A" w:rsidP="0019738A">
      <w:r w:rsidRPr="00992B72">
        <w:rPr>
          <w:b/>
          <w:noProof/>
        </w:rPr>
        <w:t>Julie</w:t>
      </w:r>
      <w:r w:rsidRPr="00992B72">
        <w:rPr>
          <w:b/>
        </w:rPr>
        <w:t xml:space="preserve"> </w:t>
      </w:r>
      <w:r w:rsidRPr="00992B72">
        <w:rPr>
          <w:b/>
          <w:noProof/>
        </w:rPr>
        <w:t>Siedses</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Really? Ruptures of the real in Roberto Rossellini’s films starring Ingrid Bergman</w:t>
      </w:r>
      <w:r>
        <w:br/>
      </w:r>
      <w:r w:rsidR="000649EB">
        <w:rPr>
          <w:noProof/>
          <w:sz w:val="20"/>
          <w:szCs w:val="20"/>
        </w:rPr>
        <w:br/>
      </w:r>
      <w:r w:rsidRPr="0019738A">
        <w:rPr>
          <w:noProof/>
          <w:sz w:val="20"/>
          <w:szCs w:val="20"/>
        </w:rPr>
        <w:t xml:space="preserve">Robert Rossellini made three films with Ingrid Bergman: </w:t>
      </w:r>
      <w:r w:rsidRPr="0019738A">
        <w:rPr>
          <w:i/>
          <w:noProof/>
          <w:sz w:val="20"/>
          <w:szCs w:val="20"/>
        </w:rPr>
        <w:t>Stromboli, Europa ’51</w:t>
      </w:r>
      <w:r w:rsidRPr="0019738A">
        <w:rPr>
          <w:noProof/>
          <w:sz w:val="20"/>
          <w:szCs w:val="20"/>
        </w:rPr>
        <w:t xml:space="preserve"> and </w:t>
      </w:r>
      <w:r w:rsidRPr="0019738A">
        <w:rPr>
          <w:i/>
          <w:noProof/>
          <w:sz w:val="20"/>
          <w:szCs w:val="20"/>
        </w:rPr>
        <w:t>Voyage to Italy</w:t>
      </w:r>
      <w:r w:rsidRPr="0019738A">
        <w:rPr>
          <w:noProof/>
          <w:sz w:val="20"/>
          <w:szCs w:val="20"/>
        </w:rPr>
        <w:t xml:space="preserve">, and all of these films mark a change in both Rossellini’s filmmaking and Bergman’s career. While at the time, Rossellini was blamed for both abandoning his neorealist principles, and destroying Bergman’s career, these films have since been lauded as high points in post-World War II cinema. While Rossellini did depart from many of the accepted traits of neorealism, the real does permeate the texts in important ways. For example, </w:t>
      </w:r>
      <w:r w:rsidRPr="0019738A">
        <w:rPr>
          <w:i/>
          <w:noProof/>
          <w:sz w:val="20"/>
          <w:szCs w:val="20"/>
        </w:rPr>
        <w:t>Stromboli</w:t>
      </w:r>
      <w:r w:rsidRPr="0019738A">
        <w:rPr>
          <w:noProof/>
          <w:sz w:val="20"/>
          <w:szCs w:val="20"/>
        </w:rPr>
        <w:t xml:space="preserve"> is famous for the documentary style adopted in the fishing scene, the volcanic eruption scene and the climax where Bergman as Karin climbs to the top of the volcano. This study explores how the objective real ruptures the fictive nature of the film, creating a realism that is both specific to Rossellini’s filmmaking and intensely profound. This paper will argue that there is value in considering these three films through the prism of new theories of realism, which will re-establish Rossellini’s work with Bergman as vital to any understanding of modern conceptions of realism in cinema.</w:t>
      </w:r>
    </w:p>
    <w:p w:rsidR="0019738A" w:rsidRDefault="0019738A" w:rsidP="00DD7B70">
      <w:pPr>
        <w:rPr>
          <w:rStyle w:val="SubtleEmphasis"/>
        </w:rPr>
      </w:pPr>
    </w:p>
    <w:p w:rsidR="0019738A" w:rsidRPr="0019738A" w:rsidRDefault="0019738A" w:rsidP="0019738A">
      <w:r w:rsidRPr="00992B72">
        <w:rPr>
          <w:b/>
          <w:noProof/>
        </w:rPr>
        <w:t>Raphael</w:t>
      </w:r>
      <w:r w:rsidRPr="00992B72">
        <w:rPr>
          <w:b/>
        </w:rPr>
        <w:t xml:space="preserve"> </w:t>
      </w:r>
      <w:r w:rsidRPr="00992B72">
        <w:rPr>
          <w:b/>
          <w:noProof/>
        </w:rPr>
        <w:t>Morris</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 xml:space="preserve">Translating ‘Eotena’ and the Limits of Enquiry into the Oral Dimensions of </w:t>
      </w:r>
      <w:r w:rsidRPr="00992B72">
        <w:rPr>
          <w:noProof/>
        </w:rPr>
        <w:t>Beowulf</w:t>
      </w:r>
      <w:r>
        <w:br/>
      </w:r>
      <w:r w:rsidR="000649EB">
        <w:rPr>
          <w:noProof/>
          <w:sz w:val="20"/>
          <w:szCs w:val="20"/>
        </w:rPr>
        <w:br/>
      </w:r>
      <w:r w:rsidRPr="0019738A">
        <w:rPr>
          <w:noProof/>
          <w:sz w:val="20"/>
          <w:szCs w:val="20"/>
        </w:rPr>
        <w:t xml:space="preserve">Old English poetry survives only in written form, but much of this poetry bears the trace of an earlier oral tradition. Much of the discourse of the Old English poem </w:t>
      </w:r>
      <w:r w:rsidRPr="0019738A">
        <w:rPr>
          <w:i/>
          <w:noProof/>
          <w:sz w:val="20"/>
          <w:szCs w:val="20"/>
        </w:rPr>
        <w:t>Beowulf</w:t>
      </w:r>
      <w:r w:rsidRPr="0019738A">
        <w:rPr>
          <w:noProof/>
          <w:sz w:val="20"/>
          <w:szCs w:val="20"/>
        </w:rPr>
        <w:t xml:space="preserve"> revolves around attempts to reconstruct this oral tradition from the manuscript, a project that is fundamentally flawed. In this paper, I critique the structure of arguments used to ‘decipher’ </w:t>
      </w:r>
      <w:r w:rsidRPr="0019738A">
        <w:rPr>
          <w:i/>
          <w:noProof/>
          <w:sz w:val="20"/>
          <w:szCs w:val="20"/>
        </w:rPr>
        <w:t>Beowulf</w:t>
      </w:r>
      <w:r w:rsidRPr="0019738A">
        <w:rPr>
          <w:noProof/>
          <w:sz w:val="20"/>
          <w:szCs w:val="20"/>
        </w:rPr>
        <w:t xml:space="preserve"> and outline an alternative, more promising interpretive framework that is less concerned with the poem’s origins. Specifically, I focus on different translations of the words </w:t>
      </w:r>
      <w:r w:rsidRPr="0019738A">
        <w:rPr>
          <w:i/>
          <w:noProof/>
          <w:sz w:val="20"/>
          <w:szCs w:val="20"/>
        </w:rPr>
        <w:lastRenderedPageBreak/>
        <w:t>eotena</w:t>
      </w:r>
      <w:r w:rsidRPr="0019738A">
        <w:rPr>
          <w:noProof/>
          <w:sz w:val="20"/>
          <w:szCs w:val="20"/>
        </w:rPr>
        <w:t xml:space="preserve"> and </w:t>
      </w:r>
      <w:r w:rsidRPr="0019738A">
        <w:rPr>
          <w:i/>
          <w:noProof/>
          <w:sz w:val="20"/>
          <w:szCs w:val="20"/>
        </w:rPr>
        <w:t>eotenum</w:t>
      </w:r>
      <w:r w:rsidRPr="0019738A">
        <w:rPr>
          <w:noProof/>
          <w:sz w:val="20"/>
          <w:szCs w:val="20"/>
        </w:rPr>
        <w:t xml:space="preserve"> within the Finn Episode, a narrative digression found within </w:t>
      </w:r>
      <w:r w:rsidRPr="0019738A">
        <w:rPr>
          <w:i/>
          <w:noProof/>
          <w:sz w:val="20"/>
          <w:szCs w:val="20"/>
        </w:rPr>
        <w:t>Beowulf</w:t>
      </w:r>
      <w:r w:rsidRPr="0019738A">
        <w:rPr>
          <w:noProof/>
          <w:sz w:val="20"/>
          <w:szCs w:val="20"/>
        </w:rPr>
        <w:t xml:space="preserve">. Elsewhere in </w:t>
      </w:r>
      <w:r w:rsidRPr="0019738A">
        <w:rPr>
          <w:i/>
          <w:noProof/>
          <w:sz w:val="20"/>
          <w:szCs w:val="20"/>
        </w:rPr>
        <w:t>Beowulf</w:t>
      </w:r>
      <w:r w:rsidRPr="0019738A">
        <w:rPr>
          <w:noProof/>
          <w:sz w:val="20"/>
          <w:szCs w:val="20"/>
        </w:rPr>
        <w:t xml:space="preserve">, these words clearly mean ‘giants’. Debate over whether the digression is primarily historical or fantastical in theme has spawned contention over whether these words mean ‘giants’ in the Finn Episode too, or whether they ought to be ‘Jutes’ and are the result of scribal error. Commentators on either side of the debate use their preferred translations as evidence for and against the digression’s historicity. The circularity of these arguments indicates the need for a different approach to interpreting </w:t>
      </w:r>
      <w:r w:rsidRPr="0019738A">
        <w:rPr>
          <w:i/>
          <w:noProof/>
          <w:sz w:val="20"/>
          <w:szCs w:val="20"/>
        </w:rPr>
        <w:t>Beowulf</w:t>
      </w:r>
      <w:r w:rsidRPr="0019738A">
        <w:rPr>
          <w:noProof/>
          <w:sz w:val="20"/>
          <w:szCs w:val="20"/>
        </w:rPr>
        <w:t xml:space="preserve">. Taking inspiration from Jacque Derrida’s philosophy of deconstruction, I propose an interpretive angle that abandons the quest for the poem’s history and foundation in favour of a decentred exploration of the various oral, textual and historical elements at play in our reading of the text. The scholar’s aim in the new framework is to ‘disentangle’ </w:t>
      </w:r>
      <w:r w:rsidRPr="0019738A">
        <w:rPr>
          <w:i/>
          <w:noProof/>
          <w:sz w:val="20"/>
          <w:szCs w:val="20"/>
        </w:rPr>
        <w:t>Beowulf</w:t>
      </w:r>
      <w:r w:rsidRPr="0019738A">
        <w:rPr>
          <w:noProof/>
          <w:sz w:val="20"/>
          <w:szCs w:val="20"/>
        </w:rPr>
        <w:t xml:space="preserve"> rather than to ‘decipher’ it.</w:t>
      </w:r>
    </w:p>
    <w:p w:rsidR="00956774" w:rsidRDefault="00956774" w:rsidP="00DD7B70"/>
    <w:p w:rsidR="00956774" w:rsidRPr="008F0D2E" w:rsidRDefault="00956774" w:rsidP="00FE0559">
      <w:pPr>
        <w:pStyle w:val="Heading1"/>
        <w:jc w:val="center"/>
      </w:pPr>
      <w:bookmarkStart w:id="60" w:name="_Toc501711947"/>
      <w:r>
        <w:t>SESSION 13</w:t>
      </w:r>
      <w:bookmarkEnd w:id="60"/>
      <w:r>
        <w:t xml:space="preserve"> </w:t>
      </w:r>
      <w:r>
        <w:br/>
      </w:r>
    </w:p>
    <w:p w:rsidR="006564AB" w:rsidRPr="008F0D2E" w:rsidRDefault="006564AB" w:rsidP="00956774">
      <w:pPr>
        <w:pStyle w:val="Heading2"/>
      </w:pPr>
      <w:bookmarkStart w:id="61" w:name="_Toc501711948"/>
      <w:r w:rsidRPr="008F0D2E">
        <w:t xml:space="preserve">Session 13A (Monash </w:t>
      </w:r>
      <w:r w:rsidR="00D00F62">
        <w:t xml:space="preserve">University, </w:t>
      </w:r>
      <w:r w:rsidRPr="008F0D2E">
        <w:t>Australia &amp; Kyushu</w:t>
      </w:r>
      <w:r w:rsidR="00D00F62">
        <w:t xml:space="preserve"> University, Japan</w:t>
      </w:r>
      <w:r w:rsidRPr="008F0D2E">
        <w:t>)</w:t>
      </w:r>
      <w:bookmarkEnd w:id="61"/>
      <w:r w:rsidRPr="008F0D2E">
        <w:t xml:space="preserve"> </w:t>
      </w:r>
    </w:p>
    <w:p w:rsidR="006564AB" w:rsidRPr="00956774" w:rsidRDefault="00D00F62" w:rsidP="00DD7B70">
      <w:pPr>
        <w:rPr>
          <w:rStyle w:val="SubtleEmphasis"/>
        </w:rPr>
      </w:pPr>
      <w:r w:rsidRPr="00956774">
        <w:rPr>
          <w:rStyle w:val="SubtleEmphasis"/>
        </w:rPr>
        <w:t xml:space="preserve">Theme: </w:t>
      </w:r>
      <w:r w:rsidR="0019738A" w:rsidRPr="0019738A">
        <w:rPr>
          <w:rStyle w:val="SubtleEmphasis"/>
        </w:rPr>
        <w:t>Overcoming Cultural &amp; Language Barriers</w:t>
      </w:r>
    </w:p>
    <w:p w:rsidR="0019738A" w:rsidRPr="0019738A" w:rsidRDefault="00956774" w:rsidP="0019738A">
      <w:r>
        <w:rPr>
          <w:b/>
        </w:rPr>
        <w:br/>
      </w:r>
      <w:r w:rsidR="0019738A" w:rsidRPr="00992B72">
        <w:rPr>
          <w:b/>
          <w:noProof/>
        </w:rPr>
        <w:t>Emma</w:t>
      </w:r>
      <w:r w:rsidR="0019738A" w:rsidRPr="00992B72">
        <w:rPr>
          <w:b/>
        </w:rPr>
        <w:t xml:space="preserve"> </w:t>
      </w:r>
      <w:r w:rsidR="0019738A" w:rsidRPr="00992B72">
        <w:rPr>
          <w:b/>
          <w:noProof/>
        </w:rPr>
        <w:t>Swiney</w:t>
      </w:r>
      <w:r w:rsidR="0019738A" w:rsidRPr="00992B72">
        <w:t xml:space="preserve"> (</w:t>
      </w:r>
      <w:r w:rsidR="0019738A" w:rsidRPr="00992B72">
        <w:rPr>
          <w:noProof/>
        </w:rPr>
        <w:t>Monash University</w:t>
      </w:r>
      <w:r w:rsidR="0019738A" w:rsidRPr="00992B72">
        <w:t xml:space="preserve">, </w:t>
      </w:r>
      <w:r w:rsidR="0019738A" w:rsidRPr="00992B72">
        <w:rPr>
          <w:noProof/>
        </w:rPr>
        <w:t>Australia</w:t>
      </w:r>
      <w:r w:rsidR="000649EB">
        <w:t>)</w:t>
      </w:r>
      <w:r w:rsidR="000649EB">
        <w:br/>
      </w:r>
      <w:r w:rsidR="0019738A" w:rsidRPr="00992B72">
        <w:rPr>
          <w:i/>
          <w:noProof/>
        </w:rPr>
        <w:t>On the Florentine Man: Reconstructing identity in the new republic</w:t>
      </w:r>
      <w:r w:rsidR="0019738A">
        <w:br/>
      </w:r>
      <w:r w:rsidR="000649EB">
        <w:rPr>
          <w:noProof/>
          <w:sz w:val="20"/>
          <w:szCs w:val="20"/>
        </w:rPr>
        <w:br/>
      </w:r>
      <w:r w:rsidR="0019738A" w:rsidRPr="0019738A">
        <w:rPr>
          <w:noProof/>
          <w:sz w:val="20"/>
          <w:szCs w:val="20"/>
        </w:rPr>
        <w:t>The latter half of the fifteenth century saw many prominent men – e.g. Michelangelo, Leonardo da Vinci, Machiavelli and Savonarola – arise from the city of Florence. For these men, the city of their fame was important in forming who they became. In this paper, I ask why politically active Florentine men found their city so important, and how they thought of themselves as related to their city. Primarily focusing on the written works of Francesco Guicciardini, this paper examines the ways in which the ideal man was conceptualised by politically active Florentine men. I argue that the way in which Guicciardini thinks about the history and traditions of Florence directly impacts the way he thinks about others, and thus, himself. While this research builds on an outstanding body of work regarding the formation of identity in the Renaissance, Guicciardini’s voice has often been overlooked as a republican voice, due to his close relations to the Medici family. However, his works discussing the Government of Florence and the History of Italy, as well as his Maxims and observations of Machiavelli’s discourses, have a lot to reveal about his methods of self-fashioning during such a tumultuous period in the history of Florence.</w:t>
      </w:r>
    </w:p>
    <w:p w:rsidR="003C5EB1" w:rsidRDefault="003C5EB1" w:rsidP="0019738A">
      <w:pPr>
        <w:rPr>
          <w:sz w:val="20"/>
        </w:rPr>
      </w:pPr>
    </w:p>
    <w:p w:rsidR="0019738A" w:rsidRPr="0019738A" w:rsidRDefault="0019738A" w:rsidP="0019738A">
      <w:r w:rsidRPr="00992B72">
        <w:rPr>
          <w:b/>
          <w:noProof/>
        </w:rPr>
        <w:t>Tiana</w:t>
      </w:r>
      <w:r w:rsidRPr="00992B72">
        <w:rPr>
          <w:b/>
        </w:rPr>
        <w:t xml:space="preserve"> </w:t>
      </w:r>
      <w:r w:rsidRPr="00992B72">
        <w:rPr>
          <w:b/>
          <w:noProof/>
        </w:rPr>
        <w:t>Mahncke</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Community Perceptions of Student-Led Development, Financial Literacy and Microfinance Among Rural Cambodians</w:t>
      </w:r>
      <w:r>
        <w:br/>
      </w:r>
      <w:r w:rsidR="000649EB">
        <w:rPr>
          <w:noProof/>
          <w:sz w:val="20"/>
          <w:szCs w:val="20"/>
        </w:rPr>
        <w:br/>
      </w:r>
      <w:r w:rsidRPr="0019738A">
        <w:rPr>
          <w:noProof/>
          <w:sz w:val="20"/>
          <w:szCs w:val="20"/>
        </w:rPr>
        <w:t xml:space="preserve">Student-led poverty alleviation non-profits are a relatively new and poorly studied addition to the international development field. The Cambodia Impact Trip has students from Monash SEED (Socio-Economic Engagement and Development) travel to the rural village of Thnal Dach in order to foster financial literacy and microfinance access among the agrarian population. A key partner in the Cambodia Impact Trip is Volunteer and Village Help in Cambodia Organisation (VVHCO), a social enterprise that links the Thnal Dach community with international tourists in order to strengthen local economic livelihoods. Recent reviews of the SEED–VVHCO partnership have revealed that the project is failing to meet key objectives. Participatory Learning and Action (PLA) data demonstrates that the community sees little value in financial literacy workshops. Business evaluations indicate that VVHCO is financially and socially unsustainable due to a lack of clear vision and strategy, as well as a deepening financial dependence on SEED students. The June–July 2017 Cambodia Impact Trip aims to conduct additional PLA workshops in Thnal Dach to gain a deeper understanding of community </w:t>
      </w:r>
      <w:r w:rsidRPr="0019738A">
        <w:rPr>
          <w:noProof/>
          <w:sz w:val="20"/>
          <w:szCs w:val="20"/>
        </w:rPr>
        <w:lastRenderedPageBreak/>
        <w:t>perceptions of SEED, the role that financial literacy and microfinance has in enhancing their economic opportunities, and how the SEED–VVHCO partnership can be revised. Results will be used to guide an alternative VVHCO business model with new non-profit partnerships that better align with community’s self-identified needs. More broadly, results will inform the international development sector of the value of bottom-up student-led community development projects in contributing to positive development outcomes.</w:t>
      </w:r>
    </w:p>
    <w:p w:rsidR="0019738A" w:rsidRDefault="0019738A" w:rsidP="0019738A">
      <w:pPr>
        <w:rPr>
          <w:sz w:val="20"/>
        </w:rPr>
      </w:pPr>
      <w:r>
        <w:rPr>
          <w:sz w:val="20"/>
        </w:rPr>
        <w:t xml:space="preserve"> </w:t>
      </w:r>
    </w:p>
    <w:p w:rsidR="0019738A" w:rsidRPr="0019738A" w:rsidRDefault="0019738A" w:rsidP="0019738A">
      <w:r w:rsidRPr="00992B72">
        <w:rPr>
          <w:b/>
          <w:noProof/>
        </w:rPr>
        <w:t>Primola</w:t>
      </w:r>
      <w:r w:rsidRPr="00992B72">
        <w:rPr>
          <w:b/>
        </w:rPr>
        <w:t xml:space="preserve"> </w:t>
      </w:r>
      <w:r w:rsidRPr="00992B72">
        <w:rPr>
          <w:b/>
          <w:noProof/>
        </w:rPr>
        <w:t>Pillay</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Identity Formation in Migrant Youths</w:t>
      </w:r>
      <w:r>
        <w:br/>
      </w:r>
      <w:r w:rsidR="000649EB">
        <w:rPr>
          <w:noProof/>
          <w:sz w:val="20"/>
          <w:szCs w:val="20"/>
        </w:rPr>
        <w:br/>
      </w:r>
      <w:r w:rsidRPr="0019738A">
        <w:rPr>
          <w:noProof/>
          <w:sz w:val="20"/>
          <w:szCs w:val="20"/>
        </w:rPr>
        <w:t>For migrant youth, moving to a new country may significantly alter their concepts of self, especially when confronted with a new cultural context. Previous research shows that migrants from less developed countries are more likely to experience anomalies between old and new cultures. In this study, perceptual data on identity formation will incorporate the experiences of migrant youths from both developed and less developed countries. This study’s sample will include migrant youth participants aged between 15–24 years old. Participants will be recruited from both high school and university settings in Melbourne. Semi-structured group and individual interviews will be adopted to analyse experiences. The data will then be examined using the NVivo statistical package, to help find underlying themes in identity formation among youths. Results are expected to align with previous theoretical predictions, indicating that participants’ sense of identity will incorporate both Australian values as well as their own cultural sense of self. A significant prediction is that migrant youths originating from less developed and developing countries will have larger incongruences in their sense of identity compared to youths from developed countries. This study has practical implications for cultural theorists, sociologists and the field of psychology.</w:t>
      </w:r>
    </w:p>
    <w:p w:rsidR="0019738A" w:rsidRDefault="0019738A" w:rsidP="0019738A">
      <w:pPr>
        <w:rPr>
          <w:sz w:val="20"/>
        </w:rPr>
      </w:pPr>
    </w:p>
    <w:p w:rsidR="0019738A" w:rsidRPr="000649EB" w:rsidRDefault="0019738A" w:rsidP="0019738A">
      <w:r>
        <w:rPr>
          <w:b/>
        </w:rPr>
        <w:t xml:space="preserve">Chihiro </w:t>
      </w:r>
      <w:r w:rsidRPr="00992B72">
        <w:rPr>
          <w:b/>
        </w:rPr>
        <w:t>Ishimaru</w:t>
      </w:r>
      <w:r w:rsidR="000649EB">
        <w:t xml:space="preserve"> (Kyushu University, Japan)</w:t>
      </w:r>
      <w:r w:rsidR="000649EB">
        <w:br/>
      </w:r>
      <w:r w:rsidRPr="00992B72">
        <w:rPr>
          <w:i/>
        </w:rPr>
        <w:t>How do Native Japanese People Struggle in Pronouncing English versus Chinese?</w:t>
      </w:r>
      <w:r>
        <w:rPr>
          <w:i/>
        </w:rPr>
        <w:br/>
      </w:r>
      <w:r w:rsidR="000649EB">
        <w:rPr>
          <w:sz w:val="20"/>
          <w:szCs w:val="20"/>
        </w:rPr>
        <w:br/>
      </w:r>
      <w:r w:rsidRPr="0019738A">
        <w:rPr>
          <w:sz w:val="20"/>
          <w:szCs w:val="20"/>
        </w:rPr>
        <w:t>The purpose of this research is to analyse the sounds of Chinese, English, Japanese and the differences between the respective languages. Japanese people start studying a foreign language when they are in junior high. However, it is often said that they are bad at pronouncing foreign languages. I initially believed that this is because of a lack of ability and negative transfer. But now, I think not these but also subject a logically construct. This time, my research comes from the perspective of linguistics. The hypothesis states there are different of kinds of sounds; there is a difference in consonants. It is believed that the reason Japanese people cannot hear or pronounce ‘r’ and ‘l’ is because they do not have these sounds in their language. My research looks at whether pronunciation is poor because there are many other differences in pronunciation like this.</w:t>
      </w:r>
    </w:p>
    <w:p w:rsidR="0019738A" w:rsidRPr="0019738A" w:rsidRDefault="0019738A" w:rsidP="0019738A">
      <w:pPr>
        <w:rPr>
          <w:sz w:val="20"/>
          <w:szCs w:val="20"/>
        </w:rPr>
      </w:pPr>
      <w:r w:rsidRPr="0019738A">
        <w:rPr>
          <w:sz w:val="20"/>
          <w:szCs w:val="20"/>
        </w:rPr>
        <w:t>To solve this problem, I applied an appropriate and consistent signs to all languages. To that end, I used the IPA (International Phonetic Alphabet). Consonants of three languages are represented by IPA. I compared English and Japanese, and Chinese and Japanese. After that, I showed some difficult points in pronunciation. Finally, I analysed how native Japanese people struggle with pronunciation based on this consideration.</w:t>
      </w:r>
    </w:p>
    <w:p w:rsidR="00776894" w:rsidRDefault="00776894" w:rsidP="00DD7B70"/>
    <w:p w:rsidR="00A407B0" w:rsidRDefault="00A407B0" w:rsidP="00DD7B70"/>
    <w:p w:rsidR="00A407B0" w:rsidRDefault="00A407B0" w:rsidP="00DD7B70"/>
    <w:p w:rsidR="00A407B0" w:rsidRDefault="00A407B0" w:rsidP="00DD7B70"/>
    <w:p w:rsidR="00A407B0" w:rsidRPr="008F0D2E" w:rsidRDefault="00A407B0" w:rsidP="00DD7B70"/>
    <w:p w:rsidR="006564AB" w:rsidRPr="008F0D2E" w:rsidRDefault="006564AB" w:rsidP="00956774">
      <w:pPr>
        <w:pStyle w:val="Heading2"/>
      </w:pPr>
      <w:bookmarkStart w:id="62" w:name="_Toc501711949"/>
      <w:r w:rsidRPr="008F0D2E">
        <w:lastRenderedPageBreak/>
        <w:t>Session 13B (Monash</w:t>
      </w:r>
      <w:r w:rsidR="00D00F62">
        <w:t xml:space="preserve"> University,</w:t>
      </w:r>
      <w:r w:rsidRPr="008F0D2E">
        <w:t xml:space="preserve"> Australia &amp; N</w:t>
      </w:r>
      <w:r w:rsidR="00D00F62">
        <w:t>anyang Technological University, Singapore</w:t>
      </w:r>
      <w:r w:rsidRPr="008F0D2E">
        <w:t>)</w:t>
      </w:r>
      <w:bookmarkEnd w:id="62"/>
      <w:r w:rsidRPr="008F0D2E">
        <w:t xml:space="preserve"> </w:t>
      </w:r>
    </w:p>
    <w:p w:rsidR="00956774" w:rsidRPr="00DC6BEE" w:rsidRDefault="00014B5D" w:rsidP="00DD7B70">
      <w:pPr>
        <w:rPr>
          <w:i/>
          <w:iCs/>
          <w:color w:val="404040" w:themeColor="text1" w:themeTint="BF"/>
        </w:rPr>
      </w:pPr>
      <w:r w:rsidRPr="00956774">
        <w:rPr>
          <w:rStyle w:val="SubtleEmphasis"/>
        </w:rPr>
        <w:t xml:space="preserve">Theme: </w:t>
      </w:r>
      <w:r w:rsidR="0019738A" w:rsidRPr="0019738A">
        <w:rPr>
          <w:rStyle w:val="SubtleEmphasis"/>
        </w:rPr>
        <w:t>Women and Trauma</w:t>
      </w:r>
    </w:p>
    <w:p w:rsidR="00BF4AE1" w:rsidRDefault="00BF4AE1" w:rsidP="0019738A">
      <w:pPr>
        <w:rPr>
          <w:b/>
          <w:noProof/>
        </w:rPr>
      </w:pPr>
    </w:p>
    <w:p w:rsidR="0019738A" w:rsidRPr="0019738A" w:rsidRDefault="0019738A" w:rsidP="0019738A">
      <w:r w:rsidRPr="00992B72">
        <w:rPr>
          <w:b/>
          <w:noProof/>
        </w:rPr>
        <w:t>Laura</w:t>
      </w:r>
      <w:r w:rsidRPr="00992B72">
        <w:rPr>
          <w:b/>
        </w:rPr>
        <w:t xml:space="preserve"> </w:t>
      </w:r>
      <w:r w:rsidRPr="00992B72">
        <w:rPr>
          <w:b/>
          <w:noProof/>
        </w:rPr>
        <w:t>Hartnell</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Écriture Féminine and the Theatrically Traumatised Woman: Towards a feminine documentation of theatre</w:t>
      </w:r>
      <w:r>
        <w:br/>
      </w:r>
      <w:r w:rsidR="000649EB">
        <w:rPr>
          <w:noProof/>
          <w:sz w:val="20"/>
          <w:szCs w:val="20"/>
        </w:rPr>
        <w:br/>
      </w:r>
      <w:r w:rsidRPr="0019738A">
        <w:rPr>
          <w:noProof/>
          <w:sz w:val="20"/>
          <w:szCs w:val="20"/>
        </w:rPr>
        <w:t xml:space="preserve">Écriture féminine (which translates to ‘feminine writing’) is a literary theory which asserts that the standard linguistic order is inherently male, and that if women are to be present within language, they must adopt a more poetic approach to writing that honours the female body. Traditional psychoanalysis has been developed in this same vein, which means that there is no female-focused way of analysing women’s experiences of trauma. Through its focus on language and the body, écriture féminine is, in part, a response to psychology’s historical lack of engagement with women’s experiences. While it is not a trauma-specific mode of thinking and writing, its centralisation of the feminine offers an alternative lens with which to view trauma experienced by women. This makes it fundamentally different from traditional modes of trauma analysis, as it offers women the opportunity to speak and be understood through a language that is uniquely feminine. My paper will argue that écriture féminine, when applied to the language of theatre, allows for a fuller appreciation of the effect of trauma on stage – when compared to more masculine forms of traditional psychological analysis of trauma – due the centralisation of the female body and language, which écriture féminine allows. To substantiate my argument, I will apply the theories of écriture féminine to a close reading of Adena Jacobs’ (dir. 2013) </w:t>
      </w:r>
      <w:r w:rsidRPr="0019738A">
        <w:rPr>
          <w:i/>
          <w:noProof/>
          <w:sz w:val="20"/>
          <w:szCs w:val="20"/>
        </w:rPr>
        <w:t>Persona</w:t>
      </w:r>
      <w:r w:rsidRPr="0019738A">
        <w:rPr>
          <w:noProof/>
          <w:sz w:val="20"/>
          <w:szCs w:val="20"/>
        </w:rPr>
        <w:t>. This will help to define the boundaries of my discussion of the portrayal of trauma on stage.</w:t>
      </w:r>
    </w:p>
    <w:p w:rsidR="00776894" w:rsidRDefault="00776894" w:rsidP="00DD7B70">
      <w:pPr>
        <w:rPr>
          <w:b/>
        </w:rPr>
      </w:pPr>
    </w:p>
    <w:p w:rsidR="0019738A" w:rsidRPr="000649EB" w:rsidRDefault="0019738A" w:rsidP="0019738A">
      <w:pPr>
        <w:rPr>
          <w:noProof/>
          <w:sz w:val="20"/>
          <w:szCs w:val="20"/>
        </w:rPr>
      </w:pPr>
      <w:r w:rsidRPr="00992B72">
        <w:rPr>
          <w:b/>
          <w:noProof/>
        </w:rPr>
        <w:t>Hannah</w:t>
      </w:r>
      <w:r w:rsidRPr="00992B72">
        <w:rPr>
          <w:b/>
        </w:rPr>
        <w:t xml:space="preserve"> </w:t>
      </w:r>
      <w:r w:rsidRPr="00992B72">
        <w:rPr>
          <w:b/>
          <w:noProof/>
        </w:rPr>
        <w:t>Viney</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 xml:space="preserve">Tongues Before Guns: The Cold War in the Australian </w:t>
      </w:r>
      <w:r w:rsidRPr="00992B72">
        <w:rPr>
          <w:noProof/>
        </w:rPr>
        <w:t>Women’s Weekly</w:t>
      </w:r>
      <w:r w:rsidRPr="00992B72">
        <w:rPr>
          <w:i/>
          <w:noProof/>
        </w:rPr>
        <w:t>, 1950–1959</w:t>
      </w:r>
      <w:r>
        <w:br/>
      </w:r>
      <w:r w:rsidR="000649EB">
        <w:rPr>
          <w:noProof/>
          <w:sz w:val="20"/>
          <w:szCs w:val="20"/>
        </w:rPr>
        <w:br/>
      </w:r>
      <w:r w:rsidRPr="0019738A">
        <w:rPr>
          <w:noProof/>
          <w:sz w:val="20"/>
          <w:szCs w:val="20"/>
        </w:rPr>
        <w:t xml:space="preserve">In both popular culture and academic scholarship, 1950s Australian society is perceived as an extremely conservative period, particularly for women. It is a frequent assumption that women during this decade were politically disinterested homemakers, wives and mothers who exhibited a limited awareness of the world outside the symbolic confines of the home. In reality, this assumption is both misleading and unfounded. An analysis of the often surprisingly political coverage of the Cold War in the Australian </w:t>
      </w:r>
      <w:r w:rsidRPr="0019738A">
        <w:rPr>
          <w:i/>
          <w:noProof/>
          <w:sz w:val="20"/>
          <w:szCs w:val="20"/>
        </w:rPr>
        <w:t>Women’s Weekly</w:t>
      </w:r>
      <w:r w:rsidRPr="0019738A">
        <w:rPr>
          <w:noProof/>
          <w:sz w:val="20"/>
          <w:szCs w:val="20"/>
        </w:rPr>
        <w:t xml:space="preserve"> from 1950 to 1959 suggests that Australian middle-class women were politically engaged with the world around them. From editorials on international diplomatic relationships to full-page articles on the war in Korea, this popular magazine exposed readers to the political climate of the time. By adopting Nancy A. Walker’s view that women’s magazines both shape and mirror the beliefs of their readers it can be seen that, through this exposure, these women wanted the opportunity to be informed participants in the conflict. In conducting a textual analysis of the Weekly’s Cold War content, this paper contends that Australian women had the opportunity to participate in a feminine form of political engagement that incorporated their domestic roles. In a society anxious about change, platforms such as the Weekly gave white, middle-class women the space to pursue interests in the political climate while still maintaining their ‘femininity’ and, consequently, the status quo. This overlooked expression of female political engagement is integral to understanding the greater history of gender and politics in Australian society.</w:t>
      </w:r>
    </w:p>
    <w:p w:rsidR="0019738A" w:rsidRDefault="0019738A" w:rsidP="0019738A">
      <w:pPr>
        <w:rPr>
          <w:sz w:val="20"/>
          <w:szCs w:val="20"/>
        </w:rPr>
      </w:pPr>
    </w:p>
    <w:p w:rsidR="00A407B0" w:rsidRDefault="00A407B0" w:rsidP="0019738A">
      <w:pPr>
        <w:rPr>
          <w:sz w:val="20"/>
          <w:szCs w:val="20"/>
        </w:rPr>
      </w:pPr>
    </w:p>
    <w:p w:rsidR="00A407B0" w:rsidRPr="0019738A" w:rsidRDefault="00A407B0" w:rsidP="0019738A">
      <w:pPr>
        <w:rPr>
          <w:sz w:val="20"/>
          <w:szCs w:val="20"/>
        </w:rPr>
      </w:pPr>
    </w:p>
    <w:p w:rsidR="0019738A" w:rsidRPr="0019738A" w:rsidRDefault="0019738A" w:rsidP="0019738A">
      <w:r w:rsidRPr="00992B72">
        <w:rPr>
          <w:b/>
          <w:noProof/>
        </w:rPr>
        <w:lastRenderedPageBreak/>
        <w:t>Lisa Zuliana Bte</w:t>
      </w:r>
      <w:r w:rsidRPr="00992B72">
        <w:rPr>
          <w:b/>
        </w:rPr>
        <w:t xml:space="preserve"> </w:t>
      </w:r>
      <w:r w:rsidRPr="00992B72">
        <w:rPr>
          <w:b/>
          <w:noProof/>
        </w:rPr>
        <w:t>Zulkifli</w:t>
      </w:r>
      <w:r w:rsidRPr="00992B72">
        <w:t xml:space="preserve"> (</w:t>
      </w:r>
      <w:r w:rsidRPr="00992B72">
        <w:rPr>
          <w:noProof/>
        </w:rPr>
        <w:t>Nanyang Technological University (NTU)</w:t>
      </w:r>
      <w:r w:rsidRPr="00992B72">
        <w:t xml:space="preserve">, </w:t>
      </w:r>
      <w:r w:rsidRPr="00992B72">
        <w:rPr>
          <w:noProof/>
        </w:rPr>
        <w:t>Singapore</w:t>
      </w:r>
      <w:r w:rsidR="000649EB">
        <w:t>)</w:t>
      </w:r>
      <w:r w:rsidR="000649EB">
        <w:br/>
      </w:r>
      <w:r w:rsidRPr="00992B72">
        <w:rPr>
          <w:i/>
          <w:noProof/>
        </w:rPr>
        <w:t>Feminist Perspectives of James Joyce’s Works</w:t>
      </w:r>
      <w:r>
        <w:br/>
      </w:r>
      <w:r w:rsidR="000649EB">
        <w:rPr>
          <w:noProof/>
          <w:sz w:val="20"/>
          <w:szCs w:val="20"/>
        </w:rPr>
        <w:br/>
      </w:r>
      <w:r w:rsidRPr="0019738A">
        <w:rPr>
          <w:noProof/>
          <w:sz w:val="20"/>
          <w:szCs w:val="20"/>
        </w:rPr>
        <w:t xml:space="preserve">This paper will explore how, through a variety of feminist methodologies (psychoanalytic, Marxist and literary), James Joyce’s writing has been of service to women, especially female empowerment. The paper will examine three pertinent issues regarding gender relations and women’s subjectivity. Firstly, Joyce’s treatment of the male gaze, be it artistic or carnal, disempowers it by illustrating how the men who objectify their women only end up disillusioned and ‘paralysed’ themselves. This will be investigated in </w:t>
      </w:r>
      <w:r w:rsidRPr="0019738A">
        <w:rPr>
          <w:i/>
          <w:noProof/>
          <w:sz w:val="20"/>
          <w:szCs w:val="20"/>
        </w:rPr>
        <w:t>Araby, The Dead</w:t>
      </w:r>
      <w:r w:rsidRPr="0019738A">
        <w:rPr>
          <w:noProof/>
          <w:sz w:val="20"/>
          <w:szCs w:val="20"/>
        </w:rPr>
        <w:t xml:space="preserve"> and Stephen Dedalus’ encounter with the ‘bird girl’. Secondly, Joyce’s employment of French feminism’s écriture féminine allows his women to reclaim their bodies, destabilise phallogocentrism and ‘speak’ for themselves despite mediation through a male pen. Moreover, he does so while ensuring that the woman’s body is socially and historically contextualised, questioning whether in Catholic Irish society women could establish substantial material protection. This will be examined in ‘Sirens’, ‘Nausicaa’ and ‘Penelope’. Lastly, this paper attempts to mediate how Joyce attempts writing for the sake of oppressed women despite his privileged position and his sexist remarks, revealing the anxiety and critical self-questioning that plagues his writing. From presenting gender relations in the realist short stories </w:t>
      </w:r>
      <w:r w:rsidRPr="0019738A">
        <w:rPr>
          <w:i/>
          <w:noProof/>
          <w:sz w:val="20"/>
          <w:szCs w:val="20"/>
        </w:rPr>
        <w:t>Dubliners</w:t>
      </w:r>
      <w:r w:rsidRPr="0019738A">
        <w:rPr>
          <w:noProof/>
          <w:sz w:val="20"/>
          <w:szCs w:val="20"/>
        </w:rPr>
        <w:t xml:space="preserve"> to critically examining the artist and muse dichotomy in </w:t>
      </w:r>
      <w:r w:rsidRPr="0019738A">
        <w:rPr>
          <w:i/>
          <w:noProof/>
          <w:sz w:val="20"/>
          <w:szCs w:val="20"/>
        </w:rPr>
        <w:t>Portrait of the Artist as a Young Man</w:t>
      </w:r>
      <w:r w:rsidRPr="0019738A">
        <w:rPr>
          <w:noProof/>
          <w:sz w:val="20"/>
          <w:szCs w:val="20"/>
        </w:rPr>
        <w:t xml:space="preserve"> and deconstructing phallogocentrism and establishing a platform for an authentic female voice, or at least as authentic as it can be from a male writer, in Ulysses, James Joyce proves to be a writer whose works remain critically important and applicable to numerous branches of feminist criticism.</w:t>
      </w:r>
    </w:p>
    <w:p w:rsidR="0019738A" w:rsidRDefault="0019738A" w:rsidP="00DD7B70">
      <w:pPr>
        <w:rPr>
          <w:b/>
        </w:rPr>
      </w:pPr>
    </w:p>
    <w:p w:rsidR="0019738A" w:rsidRPr="0019738A" w:rsidRDefault="0019738A" w:rsidP="0019738A">
      <w:r w:rsidRPr="00992B72">
        <w:rPr>
          <w:b/>
          <w:noProof/>
        </w:rPr>
        <w:t>Andre Thomas</w:t>
      </w:r>
      <w:r w:rsidRPr="00992B72">
        <w:rPr>
          <w:b/>
        </w:rPr>
        <w:t xml:space="preserve"> </w:t>
      </w:r>
      <w:r w:rsidRPr="00992B72">
        <w:rPr>
          <w:b/>
          <w:noProof/>
        </w:rPr>
        <w:t>Fernandez</w:t>
      </w:r>
      <w:r w:rsidRPr="00992B72">
        <w:t xml:space="preserve"> (</w:t>
      </w:r>
      <w:r w:rsidRPr="00992B72">
        <w:rPr>
          <w:noProof/>
        </w:rPr>
        <w:t>Nanyang Technological University (NTU)</w:t>
      </w:r>
      <w:r w:rsidRPr="00992B72">
        <w:t xml:space="preserve">, </w:t>
      </w:r>
      <w:r w:rsidRPr="00992B72">
        <w:rPr>
          <w:noProof/>
        </w:rPr>
        <w:t>Singapore</w:t>
      </w:r>
      <w:r w:rsidR="000649EB">
        <w:t>)</w:t>
      </w:r>
      <w:r w:rsidR="000649EB">
        <w:br/>
      </w:r>
      <w:r w:rsidRPr="00992B72">
        <w:rPr>
          <w:i/>
          <w:noProof/>
        </w:rPr>
        <w:t>The Centrality of Femininity in the Literary Representations of Trauma of the Early 20th Century</w:t>
      </w:r>
      <w:r>
        <w:br/>
      </w:r>
      <w:r w:rsidR="000649EB">
        <w:rPr>
          <w:noProof/>
          <w:sz w:val="20"/>
          <w:szCs w:val="20"/>
        </w:rPr>
        <w:br/>
      </w:r>
      <w:r w:rsidRPr="0019738A">
        <w:rPr>
          <w:noProof/>
          <w:sz w:val="20"/>
          <w:szCs w:val="20"/>
        </w:rPr>
        <w:t xml:space="preserve">The idea of trauma originated from Freud’s work on hysteria in the late nineteenth century. Hysteria was largely a product of societal norms, and its prevalence gave rise to Freudian ideas of trauma as well as literary texts that dealt with hysteria. These early Freudian ideas suggested that trauma of ‘sexual abuse lies behind female hysteria’ (Kaplan 25). However, other texts such as </w:t>
      </w:r>
      <w:r w:rsidRPr="0019738A">
        <w:rPr>
          <w:i/>
          <w:noProof/>
          <w:sz w:val="20"/>
          <w:szCs w:val="20"/>
        </w:rPr>
        <w:t>The Yellow Wallpaper</w:t>
      </w:r>
      <w:r w:rsidRPr="0019738A">
        <w:rPr>
          <w:noProof/>
          <w:sz w:val="20"/>
          <w:szCs w:val="20"/>
        </w:rPr>
        <w:t xml:space="preserve"> utilised the woman’s perspective to purport societal oppression as the overarching cause of hysteria. While having different views on the subject, both these Freudian ideas and the text relied heavily on femininity to relate the mental health issues of that time. This inherent femininity is also seen in the literary representations of war trauma in the early twentieth century. The advent of World War I saw an ‘increasing number of soldiers reporting paralysis and other hysterical symptoms’ (Kaplan 28). This thus resulted in the development of Freud’s earlier ideas of trauma to include men and the traumatic effects of war. These effects of war were later represented in texts such as </w:t>
      </w:r>
      <w:r w:rsidRPr="0019738A">
        <w:rPr>
          <w:i/>
          <w:noProof/>
          <w:sz w:val="20"/>
          <w:szCs w:val="20"/>
        </w:rPr>
        <w:t>Man’s Search for Meaning</w:t>
      </w:r>
      <w:r w:rsidRPr="0019738A">
        <w:rPr>
          <w:noProof/>
          <w:sz w:val="20"/>
          <w:szCs w:val="20"/>
        </w:rPr>
        <w:t xml:space="preserve"> and </w:t>
      </w:r>
      <w:r w:rsidRPr="0019738A">
        <w:rPr>
          <w:i/>
          <w:noProof/>
          <w:sz w:val="20"/>
          <w:szCs w:val="20"/>
        </w:rPr>
        <w:t>Slaughterhouse Five</w:t>
      </w:r>
      <w:r w:rsidRPr="0019738A">
        <w:rPr>
          <w:noProof/>
          <w:sz w:val="20"/>
          <w:szCs w:val="20"/>
        </w:rPr>
        <w:t>. Notably, these texts, which featured male subjects, retained the same feminine slant that was observed in the earlier trauma-related texts. Ultimately, by charting the representation of trauma through the late nineteenth century to the early twentieth century, and by using Freudian theories of trauma to access these texts, this essay aims to highlight the centrality of femininity in the representations of trauma during that period.</w:t>
      </w:r>
    </w:p>
    <w:p w:rsidR="0019738A" w:rsidRDefault="0019738A" w:rsidP="00DD7B70">
      <w:pPr>
        <w:rPr>
          <w:b/>
        </w:rPr>
      </w:pPr>
    </w:p>
    <w:p w:rsidR="00A407B0" w:rsidRDefault="00A407B0" w:rsidP="00DD7B70">
      <w:pPr>
        <w:rPr>
          <w:b/>
        </w:rPr>
      </w:pPr>
    </w:p>
    <w:p w:rsidR="00A407B0" w:rsidRDefault="00A407B0" w:rsidP="00DD7B70">
      <w:pPr>
        <w:rPr>
          <w:b/>
        </w:rPr>
      </w:pPr>
    </w:p>
    <w:p w:rsidR="00A407B0" w:rsidRDefault="00A407B0" w:rsidP="00DD7B70">
      <w:pPr>
        <w:rPr>
          <w:b/>
        </w:rPr>
      </w:pPr>
    </w:p>
    <w:p w:rsidR="00A407B0" w:rsidRDefault="00A407B0" w:rsidP="00DD7B70">
      <w:pPr>
        <w:rPr>
          <w:b/>
        </w:rPr>
      </w:pPr>
    </w:p>
    <w:p w:rsidR="00A407B0" w:rsidRPr="008F0D2E" w:rsidRDefault="00A407B0" w:rsidP="00DD7B70">
      <w:pPr>
        <w:rPr>
          <w:b/>
        </w:rPr>
      </w:pPr>
    </w:p>
    <w:p w:rsidR="006564AB" w:rsidRPr="008F0D2E" w:rsidRDefault="006564AB" w:rsidP="00956774">
      <w:pPr>
        <w:pStyle w:val="Heading2"/>
      </w:pPr>
      <w:bookmarkStart w:id="63" w:name="_Toc501711950"/>
      <w:r w:rsidRPr="008F0D2E">
        <w:lastRenderedPageBreak/>
        <w:t xml:space="preserve">Session 13C (Monash </w:t>
      </w:r>
      <w:r w:rsidR="00D00F62">
        <w:t xml:space="preserve">University, </w:t>
      </w:r>
      <w:r w:rsidRPr="008F0D2E">
        <w:t>Australia)</w:t>
      </w:r>
      <w:bookmarkEnd w:id="63"/>
      <w:r w:rsidRPr="008F0D2E">
        <w:t xml:space="preserve"> </w:t>
      </w:r>
    </w:p>
    <w:p w:rsidR="006564AB" w:rsidRPr="008F0D2E" w:rsidRDefault="00D00F62" w:rsidP="00DD7B70">
      <w:pPr>
        <w:rPr>
          <w:i/>
        </w:rPr>
      </w:pPr>
      <w:r w:rsidRPr="00D00F62">
        <w:t>Theme:</w:t>
      </w:r>
      <w:r>
        <w:rPr>
          <w:i/>
        </w:rPr>
        <w:t xml:space="preserve"> </w:t>
      </w:r>
      <w:r w:rsidR="0019738A" w:rsidRPr="0019738A">
        <w:rPr>
          <w:i/>
        </w:rPr>
        <w:t>Patient Care and Wellbeing</w:t>
      </w:r>
    </w:p>
    <w:p w:rsidR="00DE26C2" w:rsidRPr="00DE26C2" w:rsidRDefault="00DE26C2" w:rsidP="00DE26C2">
      <w:r w:rsidRPr="00992B72">
        <w:rPr>
          <w:b/>
          <w:noProof/>
        </w:rPr>
        <w:t>Eliza</w:t>
      </w:r>
      <w:r w:rsidRPr="00992B72">
        <w:rPr>
          <w:b/>
        </w:rPr>
        <w:t xml:space="preserve"> </w:t>
      </w:r>
      <w:r w:rsidRPr="00992B72">
        <w:rPr>
          <w:b/>
          <w:noProof/>
        </w:rPr>
        <w:t>Jobling</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Consumer and Clinician Perspectives on the Utility of the Monash Health Coping and Safety Planning Tool (MHCaSPT) in an Acute Adult Inpatient Psychiatric Unit</w:t>
      </w:r>
      <w:r>
        <w:br/>
      </w:r>
      <w:r w:rsidR="000649EB">
        <w:rPr>
          <w:noProof/>
          <w:sz w:val="20"/>
          <w:szCs w:val="20"/>
        </w:rPr>
        <w:br/>
      </w:r>
      <w:r w:rsidRPr="00DE26C2">
        <w:rPr>
          <w:noProof/>
          <w:sz w:val="20"/>
          <w:szCs w:val="20"/>
        </w:rPr>
        <w:t>Background</w:t>
      </w:r>
    </w:p>
    <w:p w:rsidR="00DE26C2" w:rsidRPr="00DE26C2" w:rsidRDefault="00DE26C2" w:rsidP="00DE26C2">
      <w:pPr>
        <w:rPr>
          <w:noProof/>
          <w:sz w:val="20"/>
          <w:szCs w:val="20"/>
        </w:rPr>
      </w:pPr>
      <w:r w:rsidRPr="00DE26C2">
        <w:rPr>
          <w:noProof/>
          <w:sz w:val="20"/>
          <w:szCs w:val="20"/>
        </w:rPr>
        <w:t>A Coping and Safety Tool has been developed for use in several inpatient psychiatric settings to support consumer self-awareness and self-management of their feelings and behaviour. Such tools combine the identification of consumers’ early warning signs with sensory-based coping strategies that consumers find effective. There is limited evidence highlighting the effectiveness of Coping and Safety Tools within inpatient settings.</w:t>
      </w:r>
    </w:p>
    <w:p w:rsidR="00DE26C2" w:rsidRPr="00DE26C2" w:rsidRDefault="00DE26C2" w:rsidP="00DE26C2">
      <w:pPr>
        <w:rPr>
          <w:noProof/>
          <w:sz w:val="20"/>
          <w:szCs w:val="20"/>
        </w:rPr>
      </w:pPr>
      <w:r w:rsidRPr="00DE26C2">
        <w:rPr>
          <w:noProof/>
          <w:sz w:val="20"/>
          <w:szCs w:val="20"/>
        </w:rPr>
        <w:t>Aim</w:t>
      </w:r>
    </w:p>
    <w:p w:rsidR="00DE26C2" w:rsidRPr="00DE26C2" w:rsidRDefault="00DE26C2" w:rsidP="00DE26C2">
      <w:pPr>
        <w:rPr>
          <w:noProof/>
          <w:sz w:val="20"/>
          <w:szCs w:val="20"/>
        </w:rPr>
      </w:pPr>
      <w:r w:rsidRPr="00DE26C2">
        <w:rPr>
          <w:noProof/>
          <w:sz w:val="20"/>
          <w:szCs w:val="20"/>
        </w:rPr>
        <w:t>To investigate the utility and effectiveness of the Monash Health Coping and Safety Planning Tool (MHCaSPT) in an inpatient psychiatric mental health setting, to contribute to consumer self-awareness and self-management of their behaviour and emotions from the perspectives of clinical staff and consumers.</w:t>
      </w:r>
    </w:p>
    <w:p w:rsidR="00DE26C2" w:rsidRPr="00DE26C2" w:rsidRDefault="00DE26C2" w:rsidP="00DE26C2">
      <w:pPr>
        <w:rPr>
          <w:noProof/>
          <w:sz w:val="20"/>
          <w:szCs w:val="20"/>
        </w:rPr>
      </w:pPr>
      <w:r w:rsidRPr="00DE26C2">
        <w:rPr>
          <w:noProof/>
          <w:sz w:val="20"/>
          <w:szCs w:val="20"/>
        </w:rPr>
        <w:t>Methods</w:t>
      </w:r>
    </w:p>
    <w:p w:rsidR="00DE26C2" w:rsidRPr="00DE26C2" w:rsidRDefault="00DE26C2" w:rsidP="00DE26C2">
      <w:pPr>
        <w:rPr>
          <w:noProof/>
          <w:sz w:val="20"/>
          <w:szCs w:val="20"/>
        </w:rPr>
      </w:pPr>
      <w:r w:rsidRPr="00DE26C2">
        <w:rPr>
          <w:noProof/>
          <w:sz w:val="20"/>
          <w:szCs w:val="20"/>
        </w:rPr>
        <w:t>A six-month pilot trial of the MHCaSPT was implemented within an acute adult inpatient psychiatric unit at Monash Health Dandenong Hospital. Evaluation of the utility and effectiveness of the MHCaSPT was collected via a mixed-methods data-collection approach. This incorporated a quantitative questionnaire followed by a semi-structured interview. Participant groups included three to five clinical staff participants and ten to twelve consumer participants, all recruited from the inpatient unit. Factors investigated included the experience, usefulness, effectiveness and clinical utility of the MHCaSPT.</w:t>
      </w:r>
    </w:p>
    <w:p w:rsidR="00DE26C2" w:rsidRPr="00DE26C2" w:rsidRDefault="00DE26C2" w:rsidP="00DE26C2">
      <w:pPr>
        <w:rPr>
          <w:noProof/>
          <w:sz w:val="20"/>
          <w:szCs w:val="20"/>
        </w:rPr>
      </w:pPr>
      <w:r w:rsidRPr="00DE26C2">
        <w:rPr>
          <w:noProof/>
          <w:sz w:val="20"/>
          <w:szCs w:val="20"/>
        </w:rPr>
        <w:t>Results</w:t>
      </w:r>
    </w:p>
    <w:p w:rsidR="00DE26C2" w:rsidRPr="00DE26C2" w:rsidRDefault="00DE26C2" w:rsidP="00DE26C2">
      <w:pPr>
        <w:rPr>
          <w:noProof/>
          <w:sz w:val="20"/>
          <w:szCs w:val="20"/>
        </w:rPr>
      </w:pPr>
      <w:r w:rsidRPr="00DE26C2">
        <w:rPr>
          <w:noProof/>
          <w:sz w:val="20"/>
          <w:szCs w:val="20"/>
        </w:rPr>
        <w:t>Data collection was in progress at time of writing. It was initiated on 3 May 2017, and is anticipated to be concluded by the start of July 2017, or until qualitative data saturation is achieved. Study results will be reported once data collection is completed.</w:t>
      </w:r>
    </w:p>
    <w:p w:rsidR="00DE26C2" w:rsidRPr="00DE26C2" w:rsidRDefault="00DE26C2" w:rsidP="00DE26C2">
      <w:pPr>
        <w:rPr>
          <w:noProof/>
          <w:sz w:val="20"/>
          <w:szCs w:val="20"/>
        </w:rPr>
      </w:pPr>
      <w:r w:rsidRPr="00DE26C2">
        <w:rPr>
          <w:noProof/>
          <w:sz w:val="20"/>
          <w:szCs w:val="20"/>
        </w:rPr>
        <w:t>Conclusion</w:t>
      </w:r>
    </w:p>
    <w:p w:rsidR="00DE26C2" w:rsidRPr="00DE26C2" w:rsidRDefault="00DE26C2" w:rsidP="00DE26C2">
      <w:pPr>
        <w:rPr>
          <w:sz w:val="20"/>
          <w:szCs w:val="20"/>
        </w:rPr>
      </w:pPr>
      <w:r w:rsidRPr="00DE26C2">
        <w:rPr>
          <w:noProof/>
          <w:sz w:val="20"/>
          <w:szCs w:val="20"/>
        </w:rPr>
        <w:t>Insights about the use of the MHCaSPT will inform its future use in clinical settings.</w:t>
      </w:r>
    </w:p>
    <w:p w:rsidR="00DE26C2" w:rsidRPr="00992B72" w:rsidRDefault="00DE26C2" w:rsidP="00DE26C2"/>
    <w:p w:rsidR="00DE26C2" w:rsidRPr="00DE26C2" w:rsidRDefault="00DE26C2" w:rsidP="00DE26C2">
      <w:r w:rsidRPr="00992B72">
        <w:rPr>
          <w:b/>
          <w:noProof/>
        </w:rPr>
        <w:t>Stephanie</w:t>
      </w:r>
      <w:r w:rsidRPr="00992B72">
        <w:rPr>
          <w:b/>
        </w:rPr>
        <w:t xml:space="preserve"> </w:t>
      </w:r>
      <w:r w:rsidRPr="00992B72">
        <w:rPr>
          <w:b/>
          <w:noProof/>
        </w:rPr>
        <w:t>Bumpstead</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What Obstacles Do Nurses Face When Providing Care to People with Disabilities and How Can They Be Overcome?</w:t>
      </w:r>
      <w:r>
        <w:br/>
      </w:r>
      <w:r w:rsidR="000649EB">
        <w:rPr>
          <w:noProof/>
          <w:sz w:val="20"/>
          <w:szCs w:val="20"/>
        </w:rPr>
        <w:br/>
      </w:r>
      <w:r w:rsidRPr="00DE26C2">
        <w:rPr>
          <w:noProof/>
          <w:sz w:val="20"/>
          <w:szCs w:val="20"/>
        </w:rPr>
        <w:t>Over 4 million Australians have a disability, with an estimated 6.8% of Australians suffering a severe or profound disability. The National Disability Insurance Scheme (NDIS) has recently been initiated in Australia. The NDIS provides financial support to people with disabilities to support better care and integration into society. However, people with disabilities still have a much higher mortality rate, with more frequent hospitalisations and extended periods of stay when compared with able-bodied people of similar age brackets.</w:t>
      </w:r>
    </w:p>
    <w:p w:rsidR="00DE26C2" w:rsidRPr="00DE26C2" w:rsidRDefault="00DE26C2" w:rsidP="00DE26C2">
      <w:pPr>
        <w:rPr>
          <w:noProof/>
          <w:sz w:val="20"/>
          <w:szCs w:val="20"/>
        </w:rPr>
      </w:pPr>
      <w:r w:rsidRPr="00DE26C2">
        <w:rPr>
          <w:noProof/>
          <w:sz w:val="20"/>
          <w:szCs w:val="20"/>
        </w:rPr>
        <w:t xml:space="preserve">A systematic review of the literature will be performed using action-research methodology in order to identify key areas of concern faced by nurses, carers and patients when dealing with people with disabilities. It is expected that time pressures, lack of confidence and lack of experience with people with disabilities will be identified as key areas of concern. Having identified key obstacles, the research will examine strategies in place </w:t>
      </w:r>
      <w:r w:rsidRPr="00DE26C2">
        <w:rPr>
          <w:noProof/>
          <w:sz w:val="20"/>
          <w:szCs w:val="20"/>
        </w:rPr>
        <w:lastRenderedPageBreak/>
        <w:t>in other countries in order to overcome these obstacles and increase quality of acute care for people with disabilities. The research will attempt to propose strategies to assist future nurses overcome these obstacles.</w:t>
      </w:r>
    </w:p>
    <w:p w:rsidR="00DE26C2" w:rsidRPr="00DE26C2" w:rsidRDefault="00DE26C2" w:rsidP="00DE26C2">
      <w:pPr>
        <w:rPr>
          <w:sz w:val="20"/>
          <w:szCs w:val="20"/>
        </w:rPr>
      </w:pPr>
      <w:r w:rsidRPr="00DE26C2">
        <w:rPr>
          <w:noProof/>
          <w:sz w:val="20"/>
          <w:szCs w:val="20"/>
        </w:rPr>
        <w:t>While the broader public are garnering interest in disability studies, there is a vast lack of Australian literature surrounding people with disabilities in acute care. This research will aim to summarise and synthesise from the existing body of knowledge, and direct future research into improving care for people with disabilities.</w:t>
      </w:r>
    </w:p>
    <w:p w:rsidR="00DC6BEE" w:rsidRDefault="00DC6BEE" w:rsidP="00DD7B70"/>
    <w:p w:rsidR="00DE26C2" w:rsidRPr="00992B72" w:rsidRDefault="00DE26C2" w:rsidP="00DE26C2">
      <w:r w:rsidRPr="00992B72">
        <w:rPr>
          <w:b/>
          <w:noProof/>
        </w:rPr>
        <w:t>Stephanie</w:t>
      </w:r>
      <w:r w:rsidRPr="00992B72">
        <w:rPr>
          <w:b/>
        </w:rPr>
        <w:t xml:space="preserve"> </w:t>
      </w:r>
      <w:r w:rsidRPr="00992B72">
        <w:rPr>
          <w:b/>
          <w:noProof/>
        </w:rPr>
        <w:t>Waldron</w:t>
      </w:r>
      <w:r w:rsidRPr="00992B72">
        <w:t xml:space="preserve"> (</w:t>
      </w:r>
      <w:r w:rsidRPr="00992B72">
        <w:rPr>
          <w:noProof/>
        </w:rPr>
        <w:t>Monash University</w:t>
      </w:r>
      <w:r w:rsidRPr="00992B72">
        <w:t xml:space="preserve">, </w:t>
      </w:r>
      <w:r w:rsidRPr="00992B72">
        <w:rPr>
          <w:noProof/>
        </w:rPr>
        <w:t>Australia</w:t>
      </w:r>
      <w:r>
        <w:t>)</w:t>
      </w:r>
      <w:r>
        <w:br/>
      </w:r>
      <w:r w:rsidRPr="00992B72">
        <w:rPr>
          <w:i/>
          <w:noProof/>
        </w:rPr>
        <w:t>The Evaluation of the Eastern Metropolitan Region (EMR) Occupational Therapy Referral Pathways Tool</w:t>
      </w:r>
    </w:p>
    <w:p w:rsidR="00DE26C2" w:rsidRPr="00DE26C2" w:rsidRDefault="00DE26C2" w:rsidP="00DE26C2">
      <w:pPr>
        <w:rPr>
          <w:noProof/>
          <w:sz w:val="20"/>
          <w:szCs w:val="20"/>
        </w:rPr>
      </w:pPr>
      <w:r w:rsidRPr="00DE26C2">
        <w:rPr>
          <w:noProof/>
          <w:sz w:val="20"/>
          <w:szCs w:val="20"/>
        </w:rPr>
        <w:t>Effective referral pathways between hospital and community health services (CHS) are needed to ensure continuity of care and facilitate smooth occupational transitions for clients. An Occupational Therapy (OT) referral pathway tool was implemented to increase the number and appropriateness of referrals between a hospital network and CHS. The study aimed to investigate the implementation of a referral pathways tool from the perspective of OTs and their clients.</w:t>
      </w:r>
    </w:p>
    <w:p w:rsidR="00DE26C2" w:rsidRPr="00DE26C2" w:rsidRDefault="00DE26C2" w:rsidP="00DE26C2">
      <w:pPr>
        <w:rPr>
          <w:noProof/>
          <w:sz w:val="20"/>
          <w:szCs w:val="20"/>
        </w:rPr>
      </w:pPr>
      <w:r w:rsidRPr="00DE26C2">
        <w:rPr>
          <w:noProof/>
          <w:sz w:val="20"/>
          <w:szCs w:val="20"/>
        </w:rPr>
        <w:t>A mixed-methods study was developed. Clients and their treating OTs were interviewed using semi-structured interviews that were then thematically analysed. A file audit of electronic health records was also completed to determine changes in referral patterns in the 12 months before and after the tool was introduced.</w:t>
      </w:r>
    </w:p>
    <w:p w:rsidR="00DE26C2" w:rsidRPr="00DE26C2" w:rsidRDefault="00DE26C2" w:rsidP="00DE26C2">
      <w:pPr>
        <w:rPr>
          <w:noProof/>
          <w:sz w:val="20"/>
          <w:szCs w:val="20"/>
        </w:rPr>
      </w:pPr>
      <w:r w:rsidRPr="00DE26C2">
        <w:rPr>
          <w:noProof/>
          <w:sz w:val="20"/>
          <w:szCs w:val="20"/>
        </w:rPr>
        <w:t>Results showed that since the implementation of the tool, there has been a significant increase in referrals. Qualitative analysis revealed that the pathways increased Occupational Therapists’ understanding of OT roles in different settings and streamlined OT service provision. However, clients often experienced the transition between hospital and community care as frustrating and needed to use their adaptive skills and coping strategies to maintain safety and independence while waiting for OT intervention.</w:t>
      </w:r>
    </w:p>
    <w:p w:rsidR="00DE26C2" w:rsidRPr="00DE26C2" w:rsidRDefault="00DE26C2" w:rsidP="00DE26C2">
      <w:pPr>
        <w:rPr>
          <w:sz w:val="20"/>
          <w:szCs w:val="20"/>
        </w:rPr>
      </w:pPr>
      <w:r w:rsidRPr="00DE26C2">
        <w:rPr>
          <w:noProof/>
          <w:sz w:val="20"/>
          <w:szCs w:val="20"/>
        </w:rPr>
        <w:t>In conclusion, implementing referral pathways into practice has benefits for both clients and OTs. Referral pathways have been found to facilitate smooth occupational transitions and increase continuity of care for clients. However, this study identified several issues with implementing a referral tool on a large scale. Overcoming these issues has the potential to decrease wait times for clients, while improving efficiency for OTs.</w:t>
      </w:r>
    </w:p>
    <w:p w:rsidR="00DE26C2" w:rsidRDefault="00DE26C2" w:rsidP="00DD7B70"/>
    <w:p w:rsidR="00DE26C2" w:rsidRPr="00DE26C2" w:rsidRDefault="00DE26C2" w:rsidP="00DE26C2">
      <w:r w:rsidRPr="00992B72">
        <w:rPr>
          <w:b/>
          <w:noProof/>
        </w:rPr>
        <w:t>Sophia</w:t>
      </w:r>
      <w:r w:rsidRPr="00992B72">
        <w:rPr>
          <w:b/>
        </w:rPr>
        <w:t xml:space="preserve"> </w:t>
      </w:r>
      <w:r w:rsidRPr="00992B72">
        <w:rPr>
          <w:b/>
          <w:noProof/>
        </w:rPr>
        <w:t>Dahm</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How are Muscle Progenitor Cells (Satellite Cells) Affected by Exposure t</w:t>
      </w:r>
      <w:r>
        <w:rPr>
          <w:i/>
          <w:noProof/>
        </w:rPr>
        <w:t>o Periods of Growth and Wasting?</w:t>
      </w:r>
      <w:r>
        <w:rPr>
          <w:i/>
          <w:noProof/>
        </w:rPr>
        <w:br/>
      </w:r>
      <w:r w:rsidR="000649EB">
        <w:rPr>
          <w:noProof/>
          <w:sz w:val="20"/>
          <w:szCs w:val="20"/>
        </w:rPr>
        <w:br/>
      </w:r>
      <w:r w:rsidRPr="00DE26C2">
        <w:rPr>
          <w:noProof/>
          <w:sz w:val="20"/>
          <w:szCs w:val="20"/>
        </w:rPr>
        <w:t xml:space="preserve">Muscle growth and repair is a crucial aspect of daily life. It allows us to grow from weak infants to strong adults. Defects in such processes can lead to diseases such as Duchenne Muscular Dystrophy or cachexia (muscle wasting due to chronic illnesses such as cancer). Muscle growth is mediated by muscle stem cells, named satellite cells. These have the ability to self-renew as well as produce the functional contractile unit of skeletal muscles, myofibres. In children, satellite cells are active to accompany body growth; however, they become dormant in adults and are only activated in response to muscle injury and growth. Currently, the mechanisms behind what activates a satellite cell to induce muscle proliferation and increase muscle mass are unknown. It is therefore unknown how periods of muscle wasting or growth affect the activity of satellite cells. To find out more, eight mice were treated with a factor that induces muscle wasting (Activin) while eight mice were treated with a muscle-growth inducing factor (Follistatin) for two weeks. The mice then had two weeks without treatment. Histology of skeletal muscle tissue was analysed to determine the morphology of satellite and muscle cells, muscle mass and the number of muscle cells compared to a control. This study aims to analyse how periods of muscle wasting and growth affect satellite cells and their lineage. It is hypothesised </w:t>
      </w:r>
      <w:r w:rsidRPr="00DE26C2">
        <w:rPr>
          <w:noProof/>
          <w:sz w:val="20"/>
          <w:szCs w:val="20"/>
        </w:rPr>
        <w:lastRenderedPageBreak/>
        <w:t>that exposure to factors that induce wasting or growth results in decreased or increased satellite cell activity respectively.</w:t>
      </w:r>
    </w:p>
    <w:p w:rsidR="00956774" w:rsidRDefault="00956774" w:rsidP="00DD7B70"/>
    <w:p w:rsidR="00956774" w:rsidRDefault="00956774" w:rsidP="00CD696E">
      <w:pPr>
        <w:pStyle w:val="Heading1"/>
        <w:jc w:val="center"/>
      </w:pPr>
      <w:bookmarkStart w:id="64" w:name="_Toc501711951"/>
      <w:r>
        <w:t>SESSION 14</w:t>
      </w:r>
      <w:bookmarkEnd w:id="64"/>
    </w:p>
    <w:p w:rsidR="00956774" w:rsidRPr="008F0D2E" w:rsidRDefault="00956774" w:rsidP="00DD7B70"/>
    <w:p w:rsidR="006564AB" w:rsidRPr="008F0D2E" w:rsidRDefault="006564AB" w:rsidP="00956774">
      <w:pPr>
        <w:pStyle w:val="Heading2"/>
      </w:pPr>
      <w:bookmarkStart w:id="65" w:name="_Toc501711952"/>
      <w:r w:rsidRPr="008F0D2E">
        <w:t xml:space="preserve">Session 14A (Monash </w:t>
      </w:r>
      <w:r w:rsidR="00D00F62">
        <w:t xml:space="preserve">University, </w:t>
      </w:r>
      <w:r w:rsidRPr="008F0D2E">
        <w:t xml:space="preserve">Australia &amp; Monash </w:t>
      </w:r>
      <w:r w:rsidR="00D00F62">
        <w:t xml:space="preserve">University, </w:t>
      </w:r>
      <w:r w:rsidRPr="008F0D2E">
        <w:t>Malaysia)</w:t>
      </w:r>
      <w:bookmarkEnd w:id="65"/>
      <w:r w:rsidRPr="008F0D2E">
        <w:t xml:space="preserve"> </w:t>
      </w:r>
    </w:p>
    <w:p w:rsidR="006564AB" w:rsidRPr="00956774" w:rsidRDefault="00D00F62" w:rsidP="00DD7B70">
      <w:pPr>
        <w:rPr>
          <w:rStyle w:val="SubtleEmphasis"/>
        </w:rPr>
      </w:pPr>
      <w:r w:rsidRPr="00956774">
        <w:rPr>
          <w:rStyle w:val="SubtleEmphasis"/>
        </w:rPr>
        <w:t xml:space="preserve">Theme: </w:t>
      </w:r>
      <w:r w:rsidR="00DE26C2" w:rsidRPr="00DE26C2">
        <w:rPr>
          <w:rStyle w:val="SubtleEmphasis"/>
        </w:rPr>
        <w:t>Medicine &amp; Ethics</w:t>
      </w:r>
    </w:p>
    <w:p w:rsidR="00DE26C2" w:rsidRPr="000649EB" w:rsidRDefault="00956774" w:rsidP="00DE26C2">
      <w:r>
        <w:rPr>
          <w:b/>
        </w:rPr>
        <w:br/>
      </w:r>
      <w:r w:rsidR="00DE26C2" w:rsidRPr="00992B72">
        <w:rPr>
          <w:b/>
          <w:noProof/>
        </w:rPr>
        <w:t>Nicole</w:t>
      </w:r>
      <w:r w:rsidR="00DE26C2" w:rsidRPr="00992B72">
        <w:rPr>
          <w:b/>
        </w:rPr>
        <w:t xml:space="preserve"> </w:t>
      </w:r>
      <w:r w:rsidR="00DE26C2" w:rsidRPr="00992B72">
        <w:rPr>
          <w:b/>
          <w:noProof/>
        </w:rPr>
        <w:t>Milanko</w:t>
      </w:r>
      <w:r w:rsidR="00DE26C2">
        <w:rPr>
          <w:b/>
          <w:noProof/>
        </w:rPr>
        <w:t xml:space="preserve">, </w:t>
      </w:r>
      <w:r w:rsidR="00DE26C2" w:rsidRPr="00DE26C2">
        <w:rPr>
          <w:b/>
          <w:noProof/>
        </w:rPr>
        <w:t>Jessi</w:t>
      </w:r>
      <w:r w:rsidR="00DE26C2">
        <w:rPr>
          <w:b/>
          <w:noProof/>
        </w:rPr>
        <w:t xml:space="preserve">e Hu and Christy Atkinson </w:t>
      </w:r>
      <w:r w:rsidR="00DE26C2">
        <w:rPr>
          <w:noProof/>
        </w:rPr>
        <w:t xml:space="preserve">(GLARP, </w:t>
      </w:r>
      <w:r w:rsidR="00DE26C2" w:rsidRPr="00992B72">
        <w:rPr>
          <w:noProof/>
        </w:rPr>
        <w:t>Monash University</w:t>
      </w:r>
      <w:r w:rsidR="00DE26C2" w:rsidRPr="00992B72">
        <w:t xml:space="preserve">, </w:t>
      </w:r>
      <w:r w:rsidR="00DE26C2" w:rsidRPr="00992B72">
        <w:rPr>
          <w:noProof/>
        </w:rPr>
        <w:t>Australia</w:t>
      </w:r>
      <w:r w:rsidR="000649EB">
        <w:t>)</w:t>
      </w:r>
      <w:r w:rsidR="000649EB">
        <w:br/>
      </w:r>
      <w:r w:rsidR="00DE26C2" w:rsidRPr="00992B72">
        <w:rPr>
          <w:i/>
          <w:noProof/>
        </w:rPr>
        <w:t>An Exploration of Factors that Influence Patient Decision-Making in Medicine</w:t>
      </w:r>
      <w:r w:rsidR="00BE0045">
        <w:br/>
      </w:r>
      <w:r w:rsidR="000649EB">
        <w:rPr>
          <w:noProof/>
          <w:sz w:val="20"/>
          <w:szCs w:val="20"/>
        </w:rPr>
        <w:br/>
      </w:r>
      <w:r w:rsidR="00DE26C2" w:rsidRPr="00BE0045">
        <w:rPr>
          <w:noProof/>
          <w:sz w:val="20"/>
          <w:szCs w:val="20"/>
        </w:rPr>
        <w:t>Currently, factors impacting patient decision-making in medicine are poorly characterised. This lack of understanding has contributed to unnecessary medical treatment and overuse of medical resources, accounting for approximately one-third of all Australian healthcare costs. Furthermore, verbal and physical abuse towards medical professionals has recently been acknowledged as a significant problem within the healthcare field, as demonstrated by the Victorian Government’s ‘It’s Never OK’ campaign. Our research aims to compare the impact medical professionals as well as personal, family and life circumstances have on patient decision-making with respect to non-life-threatening medical procedures. Using a quantitative and qualitative survey statistically analysed by mathematical software, we will identify which factor(s) has/have the greatest impact on patient decision-making, raising awareness of and addressing significant problems in healthcare, including avoidable patient harm, unnecessary care and resource exhaustion leading to patient dissatisfaction and economic crisis. By researching influential factors in the context of patient decision-making, we intend to provide novel literature addressing the current lack of research and advance knowledge on how patients make choices and how their subsequent satisfaction may be improved. This information is vital for attaining the knowledge to implement strategies that improve financial sustainability and patient and medical professional outcomes.</w:t>
      </w:r>
    </w:p>
    <w:p w:rsidR="00776894" w:rsidRDefault="00776894" w:rsidP="00DE26C2">
      <w:pPr>
        <w:rPr>
          <w:sz w:val="20"/>
        </w:rPr>
      </w:pPr>
    </w:p>
    <w:p w:rsidR="00BE0045" w:rsidRPr="00BE0045" w:rsidRDefault="00BE0045" w:rsidP="00BE0045">
      <w:r w:rsidRPr="00992B72">
        <w:rPr>
          <w:b/>
          <w:noProof/>
        </w:rPr>
        <w:t>Tze Ray</w:t>
      </w:r>
      <w:r w:rsidRPr="00992B72">
        <w:rPr>
          <w:b/>
        </w:rPr>
        <w:t xml:space="preserve"> </w:t>
      </w:r>
      <w:r w:rsidRPr="00992B72">
        <w:rPr>
          <w:b/>
          <w:noProof/>
        </w:rPr>
        <w:t>Choong</w:t>
      </w:r>
      <w:r w:rsidRPr="00992B72">
        <w:t xml:space="preserve"> (</w:t>
      </w:r>
      <w:r w:rsidRPr="00992B72">
        <w:rPr>
          <w:noProof/>
        </w:rPr>
        <w:t>Monash University</w:t>
      </w:r>
      <w:r w:rsidRPr="00992B72">
        <w:t xml:space="preserve">, </w:t>
      </w:r>
      <w:r w:rsidRPr="00992B72">
        <w:rPr>
          <w:noProof/>
        </w:rPr>
        <w:t>Malaysia</w:t>
      </w:r>
      <w:r w:rsidR="000649EB">
        <w:t>)</w:t>
      </w:r>
      <w:r w:rsidR="000649EB">
        <w:br/>
      </w:r>
      <w:r w:rsidRPr="00992B72">
        <w:rPr>
          <w:i/>
          <w:noProof/>
        </w:rPr>
        <w:t>Setting Ethics on a Scientific Platform: Creating a hierarchy for the elements of ethics</w:t>
      </w:r>
      <w:r>
        <w:br/>
      </w:r>
      <w:r w:rsidR="000649EB">
        <w:rPr>
          <w:noProof/>
          <w:sz w:val="20"/>
          <w:szCs w:val="20"/>
        </w:rPr>
        <w:br/>
      </w:r>
      <w:r w:rsidRPr="00BE0045">
        <w:rPr>
          <w:noProof/>
          <w:sz w:val="20"/>
          <w:szCs w:val="20"/>
        </w:rPr>
        <w:t>There is a need to classify the elements of ethics into a hierarchical order that can be applied to a dilemma. Previous attempts at creating this hierarchy were unsuccessful.</w:t>
      </w:r>
    </w:p>
    <w:p w:rsidR="00BE0045" w:rsidRPr="00BE0045" w:rsidRDefault="00BE0045" w:rsidP="00BE0045">
      <w:pPr>
        <w:rPr>
          <w:noProof/>
          <w:sz w:val="20"/>
          <w:szCs w:val="20"/>
        </w:rPr>
      </w:pPr>
      <w:r w:rsidRPr="00BE0045">
        <w:rPr>
          <w:noProof/>
          <w:sz w:val="20"/>
          <w:szCs w:val="20"/>
        </w:rPr>
        <w:t>Method</w:t>
      </w:r>
    </w:p>
    <w:p w:rsidR="00BE0045" w:rsidRPr="00BE0045" w:rsidRDefault="00BE0045" w:rsidP="00BE0045">
      <w:pPr>
        <w:rPr>
          <w:noProof/>
          <w:sz w:val="20"/>
          <w:szCs w:val="20"/>
        </w:rPr>
      </w:pPr>
      <w:r w:rsidRPr="00BE0045">
        <w:rPr>
          <w:noProof/>
          <w:sz w:val="20"/>
          <w:szCs w:val="20"/>
        </w:rPr>
        <w:t>Elements of ethics and ethical dilemmas were extracted from literature. The dilemmas were assessed for appropriateness by the investigators and submitted to ‘responders’ for resolutions. Each dilemma was a case scenario of about 125 words. It was followed by identifying the two specific elements of conflict and the responder was asked to rank each element (1–10) according to its importance.</w:t>
      </w:r>
    </w:p>
    <w:p w:rsidR="00BE0045" w:rsidRPr="00BE0045" w:rsidRDefault="00BE0045" w:rsidP="00BE0045">
      <w:pPr>
        <w:rPr>
          <w:noProof/>
          <w:sz w:val="20"/>
          <w:szCs w:val="20"/>
        </w:rPr>
      </w:pPr>
      <w:r w:rsidRPr="00BE0045">
        <w:rPr>
          <w:noProof/>
          <w:sz w:val="20"/>
          <w:szCs w:val="20"/>
        </w:rPr>
        <w:t>Results</w:t>
      </w:r>
    </w:p>
    <w:p w:rsidR="00BE0045" w:rsidRPr="00BE0045" w:rsidRDefault="00BE0045" w:rsidP="00BE0045">
      <w:pPr>
        <w:rPr>
          <w:noProof/>
          <w:sz w:val="20"/>
          <w:szCs w:val="20"/>
        </w:rPr>
      </w:pPr>
      <w:r w:rsidRPr="00BE0045">
        <w:rPr>
          <w:noProof/>
          <w:sz w:val="20"/>
          <w:szCs w:val="20"/>
        </w:rPr>
        <w:t xml:space="preserve">At present, 80 responders (39M, mean age 40, all college graduates) have, together, provided 194 responses to 9 scenarios involving 8 ethical elements. Inter-rater agreement was usually poor, but some trends are visible. The single measures intraclass correlation coefficients were high (0.2 to 0.7, p&lt;0.05) when the elements included public good and veracity (important), or preservation of personal wealth (unimportant). Scenarios should be carefully designed: sometimes they involved more elements than the two we ask the responders to compare, and may influence the ranking. ‘Self-preservation’ may need to be split. It scores </w:t>
      </w:r>
      <w:r w:rsidRPr="00BE0045">
        <w:rPr>
          <w:noProof/>
          <w:sz w:val="20"/>
          <w:szCs w:val="20"/>
        </w:rPr>
        <w:lastRenderedPageBreak/>
        <w:t>differently when applied to preservation of life, preservation of liberty and preservation of personal wealth. The initial experience suggests that we will need an average sample size of 20 responders per conflict.</w:t>
      </w:r>
    </w:p>
    <w:p w:rsidR="00BE0045" w:rsidRPr="00BE0045" w:rsidRDefault="00BE0045" w:rsidP="00BE0045">
      <w:pPr>
        <w:rPr>
          <w:noProof/>
          <w:sz w:val="20"/>
          <w:szCs w:val="20"/>
        </w:rPr>
      </w:pPr>
      <w:r w:rsidRPr="00BE0045">
        <w:rPr>
          <w:noProof/>
          <w:sz w:val="20"/>
          <w:szCs w:val="20"/>
        </w:rPr>
        <w:t>Comment</w:t>
      </w:r>
    </w:p>
    <w:p w:rsidR="00BE0045" w:rsidRPr="00BE0045" w:rsidRDefault="00BE0045" w:rsidP="00BE0045">
      <w:pPr>
        <w:rPr>
          <w:sz w:val="20"/>
          <w:szCs w:val="20"/>
        </w:rPr>
      </w:pPr>
      <w:r w:rsidRPr="00BE0045">
        <w:rPr>
          <w:noProof/>
          <w:sz w:val="20"/>
          <w:szCs w:val="20"/>
        </w:rPr>
        <w:t>Since these are true dilemmas, inter-rater disagreement is high. Nevertheless, some trends are already visible. We have hope that it will be possible to show that the elements of ethics can be ranked.</w:t>
      </w:r>
    </w:p>
    <w:p w:rsidR="00BE0045" w:rsidRDefault="00BE0045" w:rsidP="00DE26C2">
      <w:pPr>
        <w:rPr>
          <w:sz w:val="20"/>
        </w:rPr>
      </w:pPr>
    </w:p>
    <w:p w:rsidR="00BE0045" w:rsidRPr="00992B72" w:rsidRDefault="00BE0045" w:rsidP="00BE0045">
      <w:r w:rsidRPr="00992B72">
        <w:rPr>
          <w:b/>
          <w:noProof/>
        </w:rPr>
        <w:t>Mohamed Anas</w:t>
      </w:r>
      <w:r w:rsidRPr="00992B72">
        <w:rPr>
          <w:b/>
        </w:rPr>
        <w:t xml:space="preserve"> </w:t>
      </w:r>
      <w:r w:rsidRPr="00992B72">
        <w:rPr>
          <w:b/>
          <w:noProof/>
        </w:rPr>
        <w:t>Rauffdeen Isman</w:t>
      </w:r>
      <w:r w:rsidRPr="00992B72">
        <w:t xml:space="preserve"> (</w:t>
      </w:r>
      <w:r w:rsidRPr="00992B72">
        <w:rPr>
          <w:noProof/>
        </w:rPr>
        <w:t>Monash University</w:t>
      </w:r>
      <w:r w:rsidRPr="00992B72">
        <w:t xml:space="preserve">, </w:t>
      </w:r>
      <w:r w:rsidRPr="00992B72">
        <w:rPr>
          <w:noProof/>
        </w:rPr>
        <w:t>Malaysia</w:t>
      </w:r>
      <w:r w:rsidRPr="00992B72">
        <w:t>)</w:t>
      </w:r>
    </w:p>
    <w:p w:rsidR="00BE0045" w:rsidRPr="00BE0045" w:rsidRDefault="00BE0045" w:rsidP="00BE0045">
      <w:pPr>
        <w:rPr>
          <w:sz w:val="20"/>
          <w:szCs w:val="20"/>
        </w:rPr>
      </w:pPr>
      <w:r w:rsidRPr="00992B72">
        <w:rPr>
          <w:i/>
          <w:noProof/>
        </w:rPr>
        <w:t>Prevalence of Appendectomy for Appendicitis in Malaysia: A survey of individuals over the age of 40, matched with the population for geography, ethnicity, gender and socio-economic status</w:t>
      </w:r>
      <w:r>
        <w:br/>
      </w:r>
      <w:r w:rsidRPr="00BE0045">
        <w:rPr>
          <w:noProof/>
          <w:sz w:val="20"/>
          <w:szCs w:val="20"/>
        </w:rPr>
        <w:t>Appendicitis has a direct inverse association with ulcerative colitis. It would be worthwhile to investigate whether there are other associations. We plan to investigate, in the future, the prevalence of appendicitis in various groups of individuals, (e.g. multiple sclerosis, asthma and other chronic inflammatory disorders). For comparison, we need an assessment of the prevalence of otherwise normal persons who have had appendectomy for appendicitis. Since appendicitis is rare after the age of 40, to accurately characterise ‘appendicitis’ and ‘no appendicitis’ groups we require an estimate of the prevalence in the age group 40 years and older.</w:t>
      </w:r>
    </w:p>
    <w:p w:rsidR="00BE0045" w:rsidRPr="00BE0045" w:rsidRDefault="00BE0045" w:rsidP="00BE0045">
      <w:pPr>
        <w:rPr>
          <w:noProof/>
          <w:sz w:val="20"/>
          <w:szCs w:val="20"/>
        </w:rPr>
      </w:pPr>
      <w:r w:rsidRPr="00BE0045">
        <w:rPr>
          <w:noProof/>
          <w:sz w:val="20"/>
          <w:szCs w:val="20"/>
        </w:rPr>
        <w:t>Methods</w:t>
      </w:r>
    </w:p>
    <w:p w:rsidR="00BE0045" w:rsidRPr="00BE0045" w:rsidRDefault="00BE0045" w:rsidP="00BE0045">
      <w:pPr>
        <w:rPr>
          <w:noProof/>
          <w:sz w:val="20"/>
          <w:szCs w:val="20"/>
        </w:rPr>
      </w:pPr>
      <w:r w:rsidRPr="00BE0045">
        <w:rPr>
          <w:noProof/>
          <w:sz w:val="20"/>
          <w:szCs w:val="20"/>
        </w:rPr>
        <w:t>Subjects will be sampled from the normal population in Malaysia. An attempt will be made to achieve a distribution that matches Malaysia’s normal population. Convenience samples will be taken. In order to achieve a precision of 1% with 95% confidence, and assuming a prevalence of 10%, we will recruit 3550 subjects. A questionnaire will be completed, asking about appendicitis and other chronic illnesses. Good clinical practice guidelines will be followed. In appendectomised individuals, an attempt will be made to determine if the appendix was truly inflamed at surgery.</w:t>
      </w:r>
    </w:p>
    <w:p w:rsidR="00BE0045" w:rsidRPr="00BE0045" w:rsidRDefault="00BE0045" w:rsidP="00BE0045">
      <w:pPr>
        <w:rPr>
          <w:noProof/>
          <w:sz w:val="20"/>
          <w:szCs w:val="20"/>
        </w:rPr>
      </w:pPr>
      <w:r w:rsidRPr="00BE0045">
        <w:rPr>
          <w:noProof/>
          <w:sz w:val="20"/>
          <w:szCs w:val="20"/>
        </w:rPr>
        <w:t>Results</w:t>
      </w:r>
    </w:p>
    <w:p w:rsidR="00BE0045" w:rsidRPr="00BE0045" w:rsidRDefault="00BE0045" w:rsidP="00BE0045">
      <w:pPr>
        <w:rPr>
          <w:noProof/>
          <w:sz w:val="20"/>
          <w:szCs w:val="20"/>
        </w:rPr>
      </w:pPr>
      <w:r w:rsidRPr="00BE0045">
        <w:rPr>
          <w:noProof/>
          <w:sz w:val="20"/>
          <w:szCs w:val="20"/>
        </w:rPr>
        <w:t>Initial results on 96 subjects indicate a prevalence of 5.2% (95% CI 0–17%). There is a suggestion that bone disorders may be more common among subjects who have not had an appendectomy.</w:t>
      </w:r>
    </w:p>
    <w:p w:rsidR="00BE0045" w:rsidRPr="00BE0045" w:rsidRDefault="00BE0045" w:rsidP="00BE0045">
      <w:pPr>
        <w:rPr>
          <w:noProof/>
          <w:sz w:val="20"/>
          <w:szCs w:val="20"/>
        </w:rPr>
      </w:pPr>
      <w:r w:rsidRPr="00BE0045">
        <w:rPr>
          <w:noProof/>
          <w:sz w:val="20"/>
          <w:szCs w:val="20"/>
        </w:rPr>
        <w:t>Comment</w:t>
      </w:r>
    </w:p>
    <w:p w:rsidR="00BE0045" w:rsidRPr="00BE0045" w:rsidRDefault="00BE0045" w:rsidP="00BE0045">
      <w:pPr>
        <w:rPr>
          <w:sz w:val="20"/>
          <w:szCs w:val="20"/>
        </w:rPr>
      </w:pPr>
      <w:r w:rsidRPr="00BE0045">
        <w:rPr>
          <w:noProof/>
          <w:sz w:val="20"/>
          <w:szCs w:val="20"/>
        </w:rPr>
        <w:t>This ongoing project will determine the prevalence of 40+ subjects who have ever had an appendectomy for appendicitis. The knowledge will serve as a benchmark for comparison with other disease groups.</w:t>
      </w:r>
    </w:p>
    <w:p w:rsidR="00776894" w:rsidRPr="008F0D2E" w:rsidRDefault="00776894" w:rsidP="00DD7B70"/>
    <w:p w:rsidR="006564AB" w:rsidRPr="008F0D2E" w:rsidRDefault="006564AB" w:rsidP="00CD696E">
      <w:pPr>
        <w:pStyle w:val="Heading2"/>
      </w:pPr>
      <w:bookmarkStart w:id="66" w:name="_Toc501711953"/>
      <w:r w:rsidRPr="008F0D2E">
        <w:t>Session 14</w:t>
      </w:r>
      <w:r w:rsidR="00BE0045">
        <w:t>B</w:t>
      </w:r>
      <w:r w:rsidRPr="008F0D2E">
        <w:t xml:space="preserve"> (Monash</w:t>
      </w:r>
      <w:r w:rsidR="00B0654E">
        <w:t xml:space="preserve"> University,</w:t>
      </w:r>
      <w:r w:rsidRPr="008F0D2E">
        <w:t xml:space="preserve"> Australia &amp; </w:t>
      </w:r>
      <w:r w:rsidR="00BE0045">
        <w:t xml:space="preserve">Kyushu </w:t>
      </w:r>
      <w:r w:rsidR="00B0654E">
        <w:t xml:space="preserve">University, </w:t>
      </w:r>
      <w:r w:rsidR="00BE0045">
        <w:t>Japan</w:t>
      </w:r>
      <w:r w:rsidRPr="008F0D2E">
        <w:t>)</w:t>
      </w:r>
      <w:bookmarkEnd w:id="66"/>
      <w:r w:rsidRPr="008F0D2E">
        <w:t xml:space="preserve"> </w:t>
      </w:r>
    </w:p>
    <w:p w:rsidR="00CD696E" w:rsidRDefault="00D00F62" w:rsidP="00DD7B70">
      <w:pPr>
        <w:rPr>
          <w:rStyle w:val="SubtleEmphasis"/>
        </w:rPr>
      </w:pPr>
      <w:r w:rsidRPr="00CD696E">
        <w:rPr>
          <w:rStyle w:val="SubtleEmphasis"/>
        </w:rPr>
        <w:t xml:space="preserve">Theme: </w:t>
      </w:r>
      <w:r w:rsidR="00BE0045" w:rsidRPr="00BE0045">
        <w:rPr>
          <w:rStyle w:val="SubtleEmphasis"/>
        </w:rPr>
        <w:t>Conservation &amp; Conflicting Cultures</w:t>
      </w:r>
    </w:p>
    <w:p w:rsidR="00BE0045" w:rsidRDefault="00BE0045" w:rsidP="00DD7B70">
      <w:pPr>
        <w:rPr>
          <w:rStyle w:val="SubtleEmphasis"/>
        </w:rPr>
      </w:pPr>
    </w:p>
    <w:p w:rsidR="00BE0045" w:rsidRPr="00992B72" w:rsidRDefault="00BE0045" w:rsidP="00BE0045">
      <w:r w:rsidRPr="00992B72">
        <w:rPr>
          <w:b/>
          <w:noProof/>
        </w:rPr>
        <w:t>Danielle</w:t>
      </w:r>
      <w:r w:rsidRPr="00992B72">
        <w:rPr>
          <w:b/>
        </w:rPr>
        <w:t xml:space="preserve"> </w:t>
      </w:r>
      <w:r w:rsidRPr="00992B72">
        <w:rPr>
          <w:b/>
          <w:noProof/>
        </w:rPr>
        <w:t>Broadhurst</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‘Tarting along St Kilda Road’: Venereal disease regulations and concerns on the Melbourne home front, 1939–1945</w:t>
      </w:r>
      <w:r>
        <w:br/>
      </w:r>
      <w:r w:rsidR="000649EB">
        <w:rPr>
          <w:noProof/>
          <w:sz w:val="20"/>
          <w:szCs w:val="20"/>
        </w:rPr>
        <w:br/>
      </w:r>
      <w:r w:rsidRPr="00BE0045">
        <w:rPr>
          <w:noProof/>
          <w:sz w:val="20"/>
          <w:szCs w:val="20"/>
        </w:rPr>
        <w:t xml:space="preserve">During the Second World War, the Commonwealth Government of Australia passed the National Security Act and subsequent regulations (with the best interests of the nation and the war effort at the fore). In September 1942, the government turned its interest to the sexual health of the population, introducing the National Security (Venereal Disease and Contraceptives) Regulation. Concurrently, the cities of Melbourne, Sydney and Brisbane had been transformed from their isolated position during the First World War to being fully </w:t>
      </w:r>
      <w:r w:rsidRPr="00BE0045">
        <w:rPr>
          <w:noProof/>
          <w:sz w:val="20"/>
          <w:szCs w:val="20"/>
        </w:rPr>
        <w:lastRenderedPageBreak/>
        <w:t>immersed as the base of the Pacific Front. American and Australian soldiers took residence in the state capitals causing anxieties and tensions. The popular saying ‘Over-paid, over-sexed and over here’ illustrated the sentiment shown towards Australia’s newest allies, the Americans. The notion of being over-sexed reflected a social panic about the lack of morals and divergence from socially approved behaviour that arose. An increase of venereal disease was perceived as a result. In Melbourne, the National Security Regulation supplemented the pre-existing Venereal Disease Act of 1928 and can be viewed as an extension of government surveillance in a time of total war. The measures were both intrusive and discriminative. Women had always borne the brunt of the blame for syphilis and gonorrhoea, but the regulations both criminalised the spread of the disease and perpetuated stigma. Through an analysis of the various social concerns expressed in Melbourne newspapers and government correspondence, this piece strives to discover how the enforcement of the legislation reflected ideas about gender relations on the home front.</w:t>
      </w:r>
    </w:p>
    <w:p w:rsidR="00BE0045" w:rsidRDefault="00BE0045" w:rsidP="00BE0045">
      <w:pPr>
        <w:rPr>
          <w:b/>
          <w:noProof/>
        </w:rPr>
      </w:pPr>
    </w:p>
    <w:p w:rsidR="00BE0045" w:rsidRPr="00992B72" w:rsidRDefault="00BE0045" w:rsidP="00BE0045">
      <w:r w:rsidRPr="00992B72">
        <w:rPr>
          <w:b/>
          <w:noProof/>
        </w:rPr>
        <w:t>Beatrice</w:t>
      </w:r>
      <w:r w:rsidRPr="00992B72">
        <w:rPr>
          <w:b/>
        </w:rPr>
        <w:t xml:space="preserve"> </w:t>
      </w:r>
      <w:r w:rsidRPr="00992B72">
        <w:rPr>
          <w:b/>
          <w:noProof/>
        </w:rPr>
        <w:t>Gabriel</w:t>
      </w:r>
      <w:r w:rsidRPr="00992B72">
        <w:t xml:space="preserve"> (</w:t>
      </w:r>
      <w:r w:rsidRPr="00992B72">
        <w:rPr>
          <w:noProof/>
        </w:rPr>
        <w:t>Monash University</w:t>
      </w:r>
      <w:r w:rsidRPr="00992B72">
        <w:t xml:space="preserve">, </w:t>
      </w:r>
      <w:r w:rsidRPr="00992B72">
        <w:rPr>
          <w:noProof/>
        </w:rPr>
        <w:t>Australia</w:t>
      </w:r>
      <w:r w:rsidRPr="00992B72">
        <w:t>)</w:t>
      </w:r>
    </w:p>
    <w:p w:rsidR="00BE0045" w:rsidRPr="00BE0045" w:rsidRDefault="00BE0045" w:rsidP="00BE0045">
      <w:pPr>
        <w:rPr>
          <w:sz w:val="20"/>
          <w:szCs w:val="20"/>
        </w:rPr>
      </w:pPr>
      <w:r w:rsidRPr="00992B72">
        <w:rPr>
          <w:i/>
          <w:noProof/>
        </w:rPr>
        <w:t>Thirdspace in Art: Reconciling spaces of hybridity within globalisation and post-coloniality</w:t>
      </w:r>
      <w:r>
        <w:br/>
      </w:r>
      <w:r w:rsidRPr="00BE0045">
        <w:rPr>
          <w:noProof/>
          <w:sz w:val="20"/>
          <w:szCs w:val="20"/>
        </w:rPr>
        <w:t>Examining space has often been done from two realms. One from which the observer belongs, and the other into which the observer is looking. In a globalised society and an increasingly borderless world, issues of locating space and identity have emerged. Amidst the rise of post-colonial and decolonialisation studies, a space of hybridity has become an area of necessity. The aim of this study is to implement the theory of Thirdspace onto contemporary artworks, focusing primarily on transcultural and virtual styles. Drawn from the theories of Henri Lefebvre’s Spatial Triad, Homi K. Bhabha’s concept of Hybridity and Edward Soja’s use of Thirdspace, an analysis of present artworks demonstrates an unconscious utilisation of a Third Spatial Position. Combining these key theories reveals an urgency to grapple with, and effectively conceptualise, a region that challenges the idea of spatial dualism while not necessarily seeking to supplant it. It is a notion of hybridity that aids in dismantling Eurocentric institutions, which are not only present in the art world but are also socially ubiquitous. Importantly, it is a concept that is intended to assist with reconciling a rupture within cultural identity. This study is a part of a growing body of research within the field of globalisation in art. In expanding art discourse into realms of hybridity and normalising a new cultural framework, this project will broaden our understanding of the underlying collective and personal conditions of globalisation and, particularly, widen the scope for its tolerance within society.</w:t>
      </w:r>
    </w:p>
    <w:p w:rsidR="00BE0045" w:rsidRDefault="00BE0045" w:rsidP="00DD7B70">
      <w:pPr>
        <w:rPr>
          <w:b/>
        </w:rPr>
      </w:pPr>
    </w:p>
    <w:p w:rsidR="00BE0045" w:rsidRPr="000649EB" w:rsidRDefault="00BE0045" w:rsidP="00BE0045">
      <w:r w:rsidRPr="00992B72">
        <w:rPr>
          <w:b/>
        </w:rPr>
        <w:t>Nakayama Yuki</w:t>
      </w:r>
      <w:r w:rsidR="000649EB">
        <w:t xml:space="preserve"> (Kyushu University, Japan)</w:t>
      </w:r>
      <w:r w:rsidR="000649EB">
        <w:br/>
      </w:r>
      <w:r w:rsidRPr="00992B72">
        <w:rPr>
          <w:i/>
        </w:rPr>
        <w:t>Different Perspec</w:t>
      </w:r>
      <w:r>
        <w:rPr>
          <w:i/>
        </w:rPr>
        <w:t>tives on Violence and Terrorism</w:t>
      </w:r>
      <w:r>
        <w:rPr>
          <w:i/>
        </w:rPr>
        <w:br/>
      </w:r>
      <w:r w:rsidR="000649EB">
        <w:rPr>
          <w:sz w:val="20"/>
          <w:szCs w:val="20"/>
        </w:rPr>
        <w:br/>
      </w:r>
      <w:r w:rsidRPr="00BE0045">
        <w:rPr>
          <w:sz w:val="20"/>
          <w:szCs w:val="20"/>
        </w:rPr>
        <w:t xml:space="preserve">How is it that we can experience </w:t>
      </w:r>
      <w:r w:rsidRPr="00BE0045">
        <w:rPr>
          <w:i/>
          <w:sz w:val="20"/>
          <w:szCs w:val="20"/>
        </w:rPr>
        <w:t>Les Misérables</w:t>
      </w:r>
      <w:r w:rsidRPr="00BE0045">
        <w:rPr>
          <w:sz w:val="20"/>
          <w:szCs w:val="20"/>
        </w:rPr>
        <w:t xml:space="preserve"> as a beautiful story, even though it involves cruel historical events with many casualties? Similarly, in many contemporary instances relating to terrorism, people occasionally find elements that appear to transcend the horror, particularly with respect to tragic acts of heroism. I wondered why, despite the premise that all people are equal, people evaluate things differently even though the objective outcome remains the same. As a case study, I aim to examine the perceptions around the violence of the French Revolution and its portrayal in </w:t>
      </w:r>
      <w:r w:rsidRPr="00BE0045">
        <w:rPr>
          <w:i/>
          <w:sz w:val="20"/>
          <w:szCs w:val="20"/>
        </w:rPr>
        <w:t>Les Misérables</w:t>
      </w:r>
      <w:r w:rsidRPr="00BE0045">
        <w:rPr>
          <w:sz w:val="20"/>
          <w:szCs w:val="20"/>
        </w:rPr>
        <w:t>. Following this, I will apply the emerging concepts to current events in the world. For example, why was the terrorism of Ariana Grande’s concert reported extensively whereas the Syrian civil War is, comparatively, receiving less attention? The analysis will call for a different approach to the perception and mediation of news relating to tragic events.</w:t>
      </w:r>
    </w:p>
    <w:p w:rsidR="00BE0045" w:rsidRDefault="00BE0045" w:rsidP="00DD7B70">
      <w:pPr>
        <w:rPr>
          <w:b/>
        </w:rPr>
      </w:pPr>
    </w:p>
    <w:p w:rsidR="00BE0045" w:rsidRPr="000649EB" w:rsidRDefault="00BE0045" w:rsidP="00BE0045">
      <w:r w:rsidRPr="00992B72">
        <w:rPr>
          <w:b/>
        </w:rPr>
        <w:t xml:space="preserve">Misa </w:t>
      </w:r>
      <w:r w:rsidRPr="00992B72">
        <w:rPr>
          <w:rFonts w:ascii="Calibri" w:eastAsia="Times New Roman" w:hAnsi="Calibri" w:cs="Calibri"/>
          <w:b/>
          <w:lang w:eastAsia="en-GB"/>
        </w:rPr>
        <w:t xml:space="preserve">Kawanaka </w:t>
      </w:r>
      <w:r w:rsidRPr="00992B72">
        <w:t>(Kyush</w:t>
      </w:r>
      <w:r w:rsidR="000649EB">
        <w:t>u University, Japan)</w:t>
      </w:r>
      <w:r w:rsidR="000649EB">
        <w:br/>
      </w:r>
      <w:r w:rsidRPr="00992B72">
        <w:rPr>
          <w:i/>
          <w:lang w:eastAsia="en-GB"/>
        </w:rPr>
        <w:t>Natural Conservation of Insects: Dragonfly in the Shimane prefectu</w:t>
      </w:r>
      <w:r>
        <w:rPr>
          <w:i/>
          <w:lang w:eastAsia="en-GB"/>
        </w:rPr>
        <w:t>re</w:t>
      </w:r>
      <w:r>
        <w:rPr>
          <w:i/>
          <w:lang w:eastAsia="en-GB"/>
        </w:rPr>
        <w:br/>
      </w:r>
      <w:r w:rsidR="000649EB">
        <w:rPr>
          <w:sz w:val="20"/>
          <w:szCs w:val="20"/>
        </w:rPr>
        <w:br/>
      </w:r>
      <w:r w:rsidRPr="00BE0045">
        <w:rPr>
          <w:sz w:val="20"/>
          <w:szCs w:val="20"/>
        </w:rPr>
        <w:t xml:space="preserve">There are 17.5 billion species on the earth, with the total number of living species – which include those yet to </w:t>
      </w:r>
      <w:r w:rsidRPr="00BE0045">
        <w:rPr>
          <w:sz w:val="20"/>
          <w:szCs w:val="20"/>
        </w:rPr>
        <w:lastRenderedPageBreak/>
        <w:t xml:space="preserve">be discovered – estimated at about 300 billion. Nowadays, species are disappearing 1000 times faster than would occur naturally. When species vanish, biodiversity is lost, which impacts everything else. We experience many adverse effects. So many conservation organisations are concerned with endangered species and are involved in many activities. These activities vary depending on the places and species that should be protected. How can we protect them all? My research focuses on the conservation of </w:t>
      </w:r>
      <w:r w:rsidRPr="00BE0045">
        <w:rPr>
          <w:i/>
          <w:sz w:val="20"/>
          <w:szCs w:val="20"/>
        </w:rPr>
        <w:t>Nannophya pygmaea</w:t>
      </w:r>
      <w:r w:rsidRPr="00BE0045">
        <w:rPr>
          <w:sz w:val="20"/>
          <w:szCs w:val="20"/>
        </w:rPr>
        <w:t xml:space="preserve"> (Haccho Dragonfly in Japanese) in Komugi town, Hamada City, in the Shimane Prefecture and considers the exology of them over the last three years. </w:t>
      </w:r>
      <w:r w:rsidRPr="00BE0045">
        <w:rPr>
          <w:i/>
          <w:sz w:val="20"/>
          <w:szCs w:val="20"/>
        </w:rPr>
        <w:t>Nannophya pygmaea</w:t>
      </w:r>
      <w:r w:rsidRPr="00BE0045">
        <w:rPr>
          <w:sz w:val="20"/>
          <w:szCs w:val="20"/>
        </w:rPr>
        <w:t xml:space="preserve"> is the smallest dragonfly in Japan and is specified in the critically endangered category II in Shimane prefecture. According to studies, adult </w:t>
      </w:r>
      <w:r w:rsidRPr="00BE0045">
        <w:rPr>
          <w:i/>
          <w:sz w:val="20"/>
          <w:szCs w:val="20"/>
        </w:rPr>
        <w:t>Nannophya</w:t>
      </w:r>
      <w:r w:rsidRPr="00BE0045">
        <w:rPr>
          <w:sz w:val="20"/>
          <w:szCs w:val="20"/>
        </w:rPr>
        <w:t xml:space="preserve"> can live for over 45 days and they appear mid-May to mid-September. Some residents have tried to protect </w:t>
      </w:r>
      <w:r w:rsidRPr="00BE0045">
        <w:rPr>
          <w:i/>
          <w:sz w:val="20"/>
          <w:szCs w:val="20"/>
        </w:rPr>
        <w:t>Nannophya pygmaea</w:t>
      </w:r>
      <w:r w:rsidRPr="00BE0045">
        <w:rPr>
          <w:sz w:val="20"/>
          <w:szCs w:val="20"/>
        </w:rPr>
        <w:t xml:space="preserve"> by themselves. They live in an area where there used to be rice fields. The residents’ organisation keeps the area suitable for the dragonfly by cutting the long weed so they can live well. These activities can be assessed by studying the successful transition from larva to dragonfly.</w:t>
      </w:r>
    </w:p>
    <w:p w:rsidR="00CD696E" w:rsidRPr="00CD696E" w:rsidRDefault="00CD696E" w:rsidP="00DD7B70">
      <w:pPr>
        <w:rPr>
          <w:sz w:val="20"/>
        </w:rPr>
      </w:pPr>
    </w:p>
    <w:p w:rsidR="006564AB" w:rsidRPr="008F0D2E" w:rsidRDefault="006564AB" w:rsidP="00CD696E">
      <w:pPr>
        <w:pStyle w:val="Heading2"/>
      </w:pPr>
      <w:bookmarkStart w:id="67" w:name="_Toc501711954"/>
      <w:r w:rsidRPr="008F0D2E">
        <w:t>Session 14</w:t>
      </w:r>
      <w:r w:rsidR="00BE0045">
        <w:t>C</w:t>
      </w:r>
      <w:r w:rsidRPr="008F0D2E">
        <w:t xml:space="preserve"> (Monash</w:t>
      </w:r>
      <w:r w:rsidR="00B0654E">
        <w:t xml:space="preserve"> University, Australia</w:t>
      </w:r>
      <w:r w:rsidRPr="008F0D2E">
        <w:t xml:space="preserve"> &amp; N</w:t>
      </w:r>
      <w:r w:rsidR="00B0654E">
        <w:t>anyang Technological University, Singapore</w:t>
      </w:r>
      <w:r w:rsidRPr="008F0D2E">
        <w:t>)</w:t>
      </w:r>
      <w:bookmarkEnd w:id="67"/>
      <w:r w:rsidRPr="008F0D2E">
        <w:t xml:space="preserve"> </w:t>
      </w:r>
    </w:p>
    <w:p w:rsidR="006564AB" w:rsidRPr="00CD696E" w:rsidRDefault="00D00F62" w:rsidP="00DD7B70">
      <w:pPr>
        <w:rPr>
          <w:rStyle w:val="SubtleEmphasis"/>
        </w:rPr>
      </w:pPr>
      <w:r w:rsidRPr="00CD696E">
        <w:rPr>
          <w:rStyle w:val="SubtleEmphasis"/>
        </w:rPr>
        <w:t xml:space="preserve">Theme: </w:t>
      </w:r>
      <w:r w:rsidR="00BE0045" w:rsidRPr="00BE0045">
        <w:rPr>
          <w:rStyle w:val="SubtleEmphasis"/>
        </w:rPr>
        <w:t>Wonderful Materials</w:t>
      </w:r>
    </w:p>
    <w:p w:rsidR="00CD696E" w:rsidRDefault="00CD696E" w:rsidP="00DD7B70">
      <w:pPr>
        <w:rPr>
          <w:b/>
        </w:rPr>
      </w:pPr>
    </w:p>
    <w:p w:rsidR="00BE0045" w:rsidRPr="00992B72" w:rsidRDefault="00BE0045" w:rsidP="00BE0045">
      <w:r w:rsidRPr="00992B72">
        <w:rPr>
          <w:b/>
          <w:noProof/>
        </w:rPr>
        <w:t>Kimberly</w:t>
      </w:r>
      <w:r w:rsidRPr="00992B72">
        <w:rPr>
          <w:b/>
        </w:rPr>
        <w:t xml:space="preserve"> </w:t>
      </w:r>
      <w:r w:rsidRPr="00992B72">
        <w:rPr>
          <w:b/>
          <w:noProof/>
        </w:rPr>
        <w:t>Aw</w:t>
      </w:r>
      <w:r w:rsidRPr="00992B72">
        <w:t xml:space="preserve"> (</w:t>
      </w:r>
      <w:r w:rsidRPr="00992B72">
        <w:rPr>
          <w:noProof/>
        </w:rPr>
        <w:t>Monash University</w:t>
      </w:r>
      <w:r w:rsidRPr="00992B72">
        <w:t xml:space="preserve">, </w:t>
      </w:r>
      <w:r w:rsidRPr="00992B72">
        <w:rPr>
          <w:noProof/>
        </w:rPr>
        <w:t>Malaysia</w:t>
      </w:r>
      <w:r w:rsidR="000649EB">
        <w:t>)</w:t>
      </w:r>
      <w:r w:rsidR="000649EB">
        <w:br/>
      </w:r>
      <w:r w:rsidRPr="00992B72">
        <w:rPr>
          <w:i/>
          <w:noProof/>
        </w:rPr>
        <w:t>Mode of Infection of Metarhizium spp. Fungus and their Potential as Biological Control Agents</w:t>
      </w:r>
    </w:p>
    <w:p w:rsidR="00BE0045" w:rsidRPr="001145DF" w:rsidRDefault="00BE0045" w:rsidP="00BE0045">
      <w:pPr>
        <w:rPr>
          <w:sz w:val="20"/>
          <w:szCs w:val="20"/>
        </w:rPr>
      </w:pPr>
      <w:r w:rsidRPr="001145DF">
        <w:rPr>
          <w:noProof/>
          <w:sz w:val="20"/>
          <w:szCs w:val="20"/>
        </w:rPr>
        <w:t>Pests such as locusts, grasshoppers, termites and cattle ticks have caused huge economic and agricultural losses in many parts of the world such as China, Japan, Australia, Malaysia, Africa, Brazil and Mexico. Vectors of malaria, dengue and Bancroftian filariasis – which are Aedes spp., Anopheles spp. and Culex spp. respectively – have been responsible for hospitalisation and death annually. To eliminate these pests and vectors, chemical insecticides have commonly been used as the solution. However, the harmful impacts of toxic chemical insecticides on the environment, development of resistance in pests and vectors towards chemical insecticides and public concern have driven extensive research for alternatives, especially biological control agents such as fungus and bacteria. In this review, the mode of infection of Metarhizium fungus on both terrestrial and aquatic hosts and how this interaction has been widely employed will be outlined. The potential uses of Metarhizium anisopliae as a biological control agent and molecular approaches to increase its virulence are discussed. Potential uses of Metarhizium acridum as biological control agent on locusts and grasshoppers are also explored.</w:t>
      </w:r>
    </w:p>
    <w:p w:rsidR="00BE0045" w:rsidRPr="00992B72" w:rsidRDefault="00BE0045" w:rsidP="00BE0045"/>
    <w:p w:rsidR="00BE0045" w:rsidRPr="00992B72" w:rsidRDefault="00BE0045" w:rsidP="00BE0045">
      <w:r w:rsidRPr="00992B72">
        <w:rPr>
          <w:b/>
          <w:noProof/>
        </w:rPr>
        <w:t>Vishaka</w:t>
      </w:r>
      <w:r w:rsidRPr="00992B72">
        <w:rPr>
          <w:b/>
        </w:rPr>
        <w:t xml:space="preserve"> </w:t>
      </w:r>
      <w:r w:rsidRPr="00992B72">
        <w:rPr>
          <w:b/>
          <w:noProof/>
        </w:rPr>
        <w:t>Nagendra</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3D-Printing Systems for Cementitious Materials</w:t>
      </w:r>
    </w:p>
    <w:p w:rsidR="00BE0045" w:rsidRPr="001145DF" w:rsidRDefault="00BE0045" w:rsidP="00BE0045">
      <w:pPr>
        <w:rPr>
          <w:sz w:val="20"/>
          <w:szCs w:val="20"/>
        </w:rPr>
      </w:pPr>
      <w:r w:rsidRPr="001145DF">
        <w:rPr>
          <w:noProof/>
          <w:sz w:val="20"/>
          <w:szCs w:val="20"/>
        </w:rPr>
        <w:t xml:space="preserve">Additive manufacturing has rapidly expanded its scope in recent years. The 3D printing concept has proven to be successful in improving material usage, efficiency and labour costs associated with mass production. The application of 3D printing to cementitious pastes has potential to drastically change the processes of the construction industry. The printing of structural materials such as concrete will enhance the geometrical possibilities and building efficiency of future constructions. There are many different setups that can be used to provide a controlled feed of cement paste. Various nozzles and configurations were developed and analysed to obtain a suitable printing process. Each printing method requires varying properties of fresh concrete for optimal printing. Admixtures are used to manipulate the properties of concrete such that it exhibits adequate structural properties while maintaining desirable workability for printing. The vast range of admixtures available makes it difficult to identify the optimal cocktail of additives for a printing mix. This research paper examines the interconnection between the design of the physical printer and the development of the printing </w:t>
      </w:r>
      <w:r w:rsidRPr="001145DF">
        <w:rPr>
          <w:noProof/>
          <w:sz w:val="20"/>
          <w:szCs w:val="20"/>
        </w:rPr>
        <w:lastRenderedPageBreak/>
        <w:t>ink. A 3D printing prototype was developed to test the mechanics of printing concrete and the effect of various compositions of cement and mortar pastes on the printing process.</w:t>
      </w:r>
    </w:p>
    <w:p w:rsidR="00CD696E" w:rsidRDefault="00CD696E" w:rsidP="00DD7B70">
      <w:pPr>
        <w:rPr>
          <w:b/>
        </w:rPr>
      </w:pPr>
    </w:p>
    <w:p w:rsidR="00BE0045" w:rsidRPr="00992B72" w:rsidRDefault="00BE0045" w:rsidP="00BE0045">
      <w:r w:rsidRPr="00992B72">
        <w:rPr>
          <w:b/>
          <w:noProof/>
        </w:rPr>
        <w:t>Zack</w:t>
      </w:r>
      <w:r w:rsidRPr="00992B72">
        <w:rPr>
          <w:b/>
        </w:rPr>
        <w:t xml:space="preserve"> </w:t>
      </w:r>
      <w:r w:rsidRPr="00992B72">
        <w:rPr>
          <w:b/>
          <w:noProof/>
        </w:rPr>
        <w:t>Richardson</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Characterisation of Milk Spoilage Over Time Using Infrared Spectroscopy and Multivariate Data Analysis</w:t>
      </w:r>
    </w:p>
    <w:p w:rsidR="00BE0045" w:rsidRPr="001145DF" w:rsidRDefault="00BE0045" w:rsidP="00BE0045">
      <w:pPr>
        <w:rPr>
          <w:sz w:val="20"/>
          <w:szCs w:val="20"/>
        </w:rPr>
      </w:pPr>
      <w:r w:rsidRPr="001145DF">
        <w:rPr>
          <w:noProof/>
          <w:sz w:val="20"/>
          <w:szCs w:val="20"/>
        </w:rPr>
        <w:t>Milk, a staple food in many diets, is an organic mixture of water, fats, protein and sugars. Spoilage is an inevitable occurrence, which can result in food poisoning and large amounts of commercial waste. When milk spoils, the off-flavour and curdling are due to excessive proliferation of various bacteria and associated pH changes compared to normal milk. These changes over time can be measured using infrared (IR) spectroscopy. Here we report the ability of Attenuated Total Reflectance (ATR) IR spectroscopy in conjunction with multivariate data analysis to predict the age of milk. Samples were left at room temperature over a number of days, and spectra were acquired regularly from samples dried on the ATR crystal. The data was analysed using Partial Least Squares Regression (PLS-R) modelling. Spoilt milk was characterised by bands associated with an increase of lipids, proteins and lactic acid, and a decrease in carbohydrates compared to the control sample. This is due to the carbohydrates being consumed by bacteria to fuel bacterial proliferation, which results in various associated by-products, such as lactic acid. The PLS-R model produced could predict exposure time of the milk to the spoilage process directly from the ATR-IR spectra. These results will give further information about the condition of milk products, allowing for more accurate and efficient determination of shelf life. This approach can be used to predict the spoilage status of milk samples rapidly and inexpensively, with potential commercial uses to reduce food waste and costs to the milk industry.</w:t>
      </w:r>
    </w:p>
    <w:p w:rsidR="00BE0045" w:rsidRDefault="00BE0045" w:rsidP="00DD7B70">
      <w:pPr>
        <w:rPr>
          <w:b/>
        </w:rPr>
      </w:pPr>
    </w:p>
    <w:p w:rsidR="000240C6" w:rsidRPr="000649EB" w:rsidRDefault="000240C6" w:rsidP="00DD7B70">
      <w:pPr>
        <w:rPr>
          <w:i/>
        </w:rPr>
      </w:pPr>
      <w:r>
        <w:rPr>
          <w:b/>
        </w:rPr>
        <w:t xml:space="preserve">Do Thuy Uyen Ha Lam </w:t>
      </w:r>
      <w:r>
        <w:t>(Nanyang Technological University</w:t>
      </w:r>
      <w:r w:rsidR="000649EB">
        <w:t xml:space="preserve"> (NTU)</w:t>
      </w:r>
      <w:r>
        <w:t>, Singapore)</w:t>
      </w:r>
      <w:r w:rsidR="000649EB">
        <w:rPr>
          <w:i/>
        </w:rPr>
        <w:br/>
      </w:r>
      <w:r w:rsidRPr="000240C6">
        <w:rPr>
          <w:i/>
        </w:rPr>
        <w:t>Engineering Heart Tissues (EHTs): Mending the broken heart</w:t>
      </w:r>
      <w:r w:rsidRPr="000240C6">
        <w:t> </w:t>
      </w:r>
    </w:p>
    <w:p w:rsidR="00BE0045" w:rsidRPr="001145DF" w:rsidRDefault="000240C6" w:rsidP="00DD7B70">
      <w:pPr>
        <w:rPr>
          <w:sz w:val="20"/>
          <w:szCs w:val="20"/>
        </w:rPr>
      </w:pPr>
      <w:r w:rsidRPr="001145DF">
        <w:rPr>
          <w:sz w:val="20"/>
          <w:szCs w:val="20"/>
        </w:rPr>
        <w:t>One of the diseases that has motivated scientists and clinicians is cardiovascular disease due to its being the leading cause of death worldwide. In the quest for personalized treatments, cardiac regeneration as well as humanized experimental models to study cardiomyopathies, human induced pluripotent stem cell cardiomyocytes (hiPSC-CMs), in the form of engineered heart tissue (EHT) offer great potential. Although the generated tissue is able to contract, it resembles more the fetal heart tissue than the adult form, and has scope for fundamental improvement. In this aspect, the use of 3D fibrin-based cell cultures and nano-patterned surfaces as cell culture substrates has yielded promising result. These techniques have been applied to primary cell culture since the last decade. However, their application into hiPSC-CMs has just begun and many technical questions need addressing, such as the correct timing to seed and defining the optimal matrix structure. In this project, we explore the use of PDMS nano-patterned surface with different groove widths: 2µm, 1µm and 0.8 µm onto which hiPSC-CMs are grown. Specifically, we discuss the possible factors that affect the hiPSC-CM elongation process such as cell density, age of cells at the point of seeding, matrix’s materials and structure. These factors are crucial considerations for obtaining mature hiPSC-CMs morphology with proper contractile protein expression and function. </w:t>
      </w:r>
    </w:p>
    <w:p w:rsidR="000240C6" w:rsidRDefault="000240C6" w:rsidP="00DD7B70">
      <w:pPr>
        <w:rPr>
          <w:b/>
          <w:sz w:val="20"/>
          <w:szCs w:val="20"/>
        </w:rPr>
      </w:pPr>
    </w:p>
    <w:p w:rsidR="00A407B0" w:rsidRDefault="00A407B0" w:rsidP="00DD7B70">
      <w:pPr>
        <w:rPr>
          <w:b/>
          <w:sz w:val="20"/>
          <w:szCs w:val="20"/>
        </w:rPr>
      </w:pPr>
    </w:p>
    <w:p w:rsidR="00A407B0" w:rsidRDefault="00A407B0" w:rsidP="00DD7B70">
      <w:pPr>
        <w:rPr>
          <w:b/>
          <w:sz w:val="20"/>
          <w:szCs w:val="20"/>
        </w:rPr>
      </w:pPr>
    </w:p>
    <w:p w:rsidR="00A407B0" w:rsidRDefault="00A407B0" w:rsidP="00DD7B70">
      <w:pPr>
        <w:rPr>
          <w:b/>
          <w:sz w:val="20"/>
          <w:szCs w:val="20"/>
        </w:rPr>
      </w:pPr>
    </w:p>
    <w:p w:rsidR="00A407B0" w:rsidRPr="001145DF" w:rsidRDefault="00A407B0" w:rsidP="00DD7B70">
      <w:pPr>
        <w:rPr>
          <w:b/>
          <w:sz w:val="20"/>
          <w:szCs w:val="20"/>
        </w:rPr>
      </w:pPr>
    </w:p>
    <w:p w:rsidR="00BE0045" w:rsidRDefault="00BE0045">
      <w:pPr>
        <w:pStyle w:val="Heading2"/>
      </w:pPr>
      <w:bookmarkStart w:id="68" w:name="_Toc501711955"/>
      <w:r>
        <w:lastRenderedPageBreak/>
        <w:t>Session 14D (</w:t>
      </w:r>
      <w:r w:rsidR="006B739B" w:rsidRPr="008F0D2E">
        <w:t>Monash</w:t>
      </w:r>
      <w:r w:rsidR="006B739B">
        <w:t xml:space="preserve"> University,</w:t>
      </w:r>
      <w:r w:rsidR="006B739B" w:rsidRPr="008F0D2E">
        <w:t xml:space="preserve"> Australia</w:t>
      </w:r>
      <w:r w:rsidR="006B739B">
        <w:t xml:space="preserve"> &amp; University of Brawijaya, Indonesia)</w:t>
      </w:r>
      <w:bookmarkEnd w:id="68"/>
    </w:p>
    <w:p w:rsidR="006B739B" w:rsidRDefault="006B739B" w:rsidP="006B739B">
      <w:pPr>
        <w:rPr>
          <w:i/>
        </w:rPr>
      </w:pPr>
      <w:r>
        <w:rPr>
          <w:i/>
        </w:rPr>
        <w:t xml:space="preserve">Theme: </w:t>
      </w:r>
      <w:r w:rsidRPr="006B739B">
        <w:rPr>
          <w:i/>
        </w:rPr>
        <w:t>Marketing &amp; Stakeholders</w:t>
      </w:r>
    </w:p>
    <w:p w:rsidR="00BF4AE1" w:rsidRDefault="00BF4AE1" w:rsidP="006B739B">
      <w:pPr>
        <w:rPr>
          <w:b/>
          <w:noProof/>
        </w:rPr>
      </w:pPr>
    </w:p>
    <w:p w:rsidR="006B739B" w:rsidRPr="000649EB" w:rsidRDefault="006B739B" w:rsidP="006B739B">
      <w:pPr>
        <w:rPr>
          <w:i/>
        </w:rPr>
      </w:pPr>
      <w:r w:rsidRPr="00992B72">
        <w:rPr>
          <w:b/>
          <w:noProof/>
        </w:rPr>
        <w:t>Shannon</w:t>
      </w:r>
      <w:r w:rsidRPr="00992B72">
        <w:rPr>
          <w:b/>
        </w:rPr>
        <w:t xml:space="preserve"> </w:t>
      </w:r>
      <w:r w:rsidRPr="00992B72">
        <w:rPr>
          <w:b/>
          <w:noProof/>
        </w:rPr>
        <w:t>Tan</w:t>
      </w:r>
      <w:r>
        <w:rPr>
          <w:b/>
          <w:noProof/>
        </w:rPr>
        <w:t xml:space="preserve">, </w:t>
      </w:r>
      <w:r w:rsidRPr="006B739B">
        <w:rPr>
          <w:b/>
          <w:noProof/>
        </w:rPr>
        <w:t>Larisa Mankolli and Elizabeth Doery (GLARP, Mon Aus)</w:t>
      </w:r>
      <w:r w:rsidRPr="00992B72">
        <w:t xml:space="preserve"> (</w:t>
      </w:r>
      <w:r>
        <w:t xml:space="preserve">GLARP, </w:t>
      </w:r>
      <w:r w:rsidRPr="00992B72">
        <w:rPr>
          <w:noProof/>
        </w:rPr>
        <w:t>Monash University</w:t>
      </w:r>
      <w:r w:rsidRPr="00992B72">
        <w:t xml:space="preserve">, </w:t>
      </w:r>
      <w:r w:rsidRPr="00992B72">
        <w:rPr>
          <w:noProof/>
        </w:rPr>
        <w:t>Australia</w:t>
      </w:r>
      <w:r w:rsidRPr="00992B72">
        <w:t>)</w:t>
      </w:r>
      <w:r w:rsidR="000649EB">
        <w:rPr>
          <w:i/>
        </w:rPr>
        <w:br/>
      </w:r>
      <w:r w:rsidRPr="00992B72">
        <w:rPr>
          <w:i/>
          <w:noProof/>
        </w:rPr>
        <w:t>Romanticising the Female Body: An explorative study on the impact of feminine care product marketing on women</w:t>
      </w:r>
      <w:r>
        <w:br/>
      </w:r>
      <w:r w:rsidR="000649EB">
        <w:rPr>
          <w:noProof/>
          <w:sz w:val="20"/>
          <w:szCs w:val="20"/>
        </w:rPr>
        <w:br/>
      </w:r>
      <w:r w:rsidRPr="006B739B">
        <w:rPr>
          <w:noProof/>
          <w:sz w:val="20"/>
          <w:szCs w:val="20"/>
        </w:rPr>
        <w:t>Problematic images of the ideal woman are reinforced by the romanticised marketing of feminine care products (FCP). This may lead to the perpetuation of stereotypes, the unequal representation of women and their bodies, and a reduction in one’s access to such utilitarian products.</w:t>
      </w:r>
    </w:p>
    <w:p w:rsidR="006B739B" w:rsidRPr="006B739B" w:rsidRDefault="006B739B" w:rsidP="006B739B">
      <w:pPr>
        <w:rPr>
          <w:noProof/>
          <w:sz w:val="20"/>
          <w:szCs w:val="20"/>
        </w:rPr>
      </w:pPr>
      <w:r w:rsidRPr="006B739B">
        <w:rPr>
          <w:noProof/>
          <w:sz w:val="20"/>
          <w:szCs w:val="20"/>
        </w:rPr>
        <w:t>Our presentation will revolve around the sexist and culturally isolating marketing strategies employed by FCP brands. We will explain how one’s understanding and acceptance of the commodification of women’s bodies is impacted by culture.</w:t>
      </w:r>
    </w:p>
    <w:p w:rsidR="006B739B" w:rsidRPr="006B739B" w:rsidRDefault="006B739B" w:rsidP="006B739B">
      <w:pPr>
        <w:rPr>
          <w:noProof/>
          <w:sz w:val="20"/>
          <w:szCs w:val="20"/>
        </w:rPr>
      </w:pPr>
      <w:r w:rsidRPr="006B739B">
        <w:rPr>
          <w:noProof/>
          <w:sz w:val="20"/>
          <w:szCs w:val="20"/>
        </w:rPr>
        <w:t>Discussion surrounding FCP has increased since the introduction of the luxury tax, wherein they were deemed ‘luxury’ items. It is important to explore how this tax reduces women’s rights and why it came about. This is crucial as menstruation may be associated with a range of medical conditions, and by portraying FCP as ‘luxury’ – through the tax and through advertising – these issues are invalidated.</w:t>
      </w:r>
    </w:p>
    <w:p w:rsidR="006B739B" w:rsidRDefault="006B739B" w:rsidP="006B739B">
      <w:pPr>
        <w:rPr>
          <w:sz w:val="20"/>
          <w:szCs w:val="20"/>
        </w:rPr>
      </w:pPr>
      <w:r w:rsidRPr="006B739B">
        <w:rPr>
          <w:noProof/>
          <w:sz w:val="20"/>
          <w:szCs w:val="20"/>
        </w:rPr>
        <w:t>Our methodology will include holding focus groups with female students at two Monash University campuses. We will collect qualitative data – previous data on the topic has been quantitative therefore we will be able to deliver a different perspective. This will allow us to expose problems associated with the commercialisation of FCP by understanding how women perceive advertising and the tax. It will be a comparative study of domestic and international women of varying cultures within Australia and Malaysia. We hypothesise that culture will have an impact on how issues regarding FCP are perceived by women.</w:t>
      </w:r>
    </w:p>
    <w:p w:rsidR="006B739B" w:rsidRDefault="006B739B" w:rsidP="006B739B">
      <w:pPr>
        <w:rPr>
          <w:sz w:val="20"/>
          <w:szCs w:val="20"/>
        </w:rPr>
      </w:pPr>
    </w:p>
    <w:p w:rsidR="006B739B" w:rsidRPr="000649EB" w:rsidRDefault="006B739B" w:rsidP="006B739B">
      <w:pPr>
        <w:rPr>
          <w:sz w:val="20"/>
          <w:szCs w:val="20"/>
        </w:rPr>
      </w:pPr>
      <w:r w:rsidRPr="00992B72">
        <w:rPr>
          <w:b/>
          <w:noProof/>
        </w:rPr>
        <w:t>Elizabeth</w:t>
      </w:r>
      <w:r w:rsidRPr="00992B72">
        <w:rPr>
          <w:b/>
        </w:rPr>
        <w:t xml:space="preserve"> </w:t>
      </w:r>
      <w:r w:rsidRPr="00992B72">
        <w:rPr>
          <w:b/>
          <w:noProof/>
        </w:rPr>
        <w:t>Battiston</w:t>
      </w:r>
      <w:r w:rsidRPr="006B739B">
        <w:rPr>
          <w:b/>
          <w:noProof/>
        </w:rPr>
        <w:t>, Xiyao Liu, and</w:t>
      </w:r>
      <w:r>
        <w:rPr>
          <w:b/>
          <w:noProof/>
        </w:rPr>
        <w:t xml:space="preserve"> Gengxuan Shang </w:t>
      </w:r>
      <w:r w:rsidRPr="00992B72">
        <w:t>(</w:t>
      </w:r>
      <w:r>
        <w:t xml:space="preserve">GLARP, </w:t>
      </w:r>
      <w:r w:rsidRPr="00992B72">
        <w:rPr>
          <w:noProof/>
        </w:rPr>
        <w:t>Monash University</w:t>
      </w:r>
      <w:r w:rsidRPr="00992B72">
        <w:t xml:space="preserve">, </w:t>
      </w:r>
      <w:r w:rsidRPr="00992B72">
        <w:rPr>
          <w:noProof/>
        </w:rPr>
        <w:t>Australia</w:t>
      </w:r>
      <w:r w:rsidRPr="00992B72">
        <w:t>)</w:t>
      </w:r>
      <w:r w:rsidR="000649EB">
        <w:rPr>
          <w:sz w:val="20"/>
          <w:szCs w:val="20"/>
        </w:rPr>
        <w:br/>
      </w:r>
      <w:r w:rsidRPr="00992B72">
        <w:rPr>
          <w:i/>
          <w:noProof/>
        </w:rPr>
        <w:t>Why Do Innovative Sustainable Solutions Lose Traction With Key Stakeholders?</w:t>
      </w:r>
      <w:r>
        <w:br/>
      </w:r>
      <w:r w:rsidR="000649EB">
        <w:rPr>
          <w:noProof/>
          <w:sz w:val="20"/>
          <w:szCs w:val="20"/>
        </w:rPr>
        <w:br/>
      </w:r>
      <w:r w:rsidRPr="006B739B">
        <w:rPr>
          <w:noProof/>
          <w:sz w:val="20"/>
          <w:szCs w:val="20"/>
        </w:rPr>
        <w:t>Sustainability is a currently a pressing issue, requiring urgent, co-ordinated interdisciplinary and international action. In response, research conducted internationally by scholars has expressed a need for a standardised, interdisciplinary guideline that innovators can use as a reference to translate sustainability ideas from vision to implementation. This research aims to fill the acknowledged gap. A literature review, with a focus on case studies will be performed, and interviews with experts in Australia and China will be conducted. The results generated will be translated into subsequent bilateral forums in Australia and China. A major implication of this work will be the production of a resource, accessible to laypersons and scholars from a range of disciplines, to disseminate the beneficial impact as broadly as possible.</w:t>
      </w:r>
    </w:p>
    <w:p w:rsidR="006B739B" w:rsidRDefault="006B739B" w:rsidP="006B739B">
      <w:pPr>
        <w:rPr>
          <w:b/>
          <w:noProof/>
        </w:rPr>
      </w:pPr>
    </w:p>
    <w:p w:rsidR="006B739B" w:rsidRPr="006B739B" w:rsidRDefault="006B739B" w:rsidP="006B739B">
      <w:r w:rsidRPr="00992B72">
        <w:rPr>
          <w:b/>
          <w:noProof/>
        </w:rPr>
        <w:t>Faisha</w:t>
      </w:r>
      <w:r w:rsidRPr="00992B72">
        <w:rPr>
          <w:b/>
        </w:rPr>
        <w:t xml:space="preserve"> </w:t>
      </w:r>
      <w:r w:rsidRPr="00992B72">
        <w:rPr>
          <w:b/>
          <w:noProof/>
        </w:rPr>
        <w:t>Namira Harjanti</w:t>
      </w:r>
      <w:r w:rsidRPr="00992B72">
        <w:t xml:space="preserve"> (</w:t>
      </w:r>
      <w:r w:rsidRPr="00992B72">
        <w:rPr>
          <w:noProof/>
        </w:rPr>
        <w:t>University of Brawijaya</w:t>
      </w:r>
      <w:r w:rsidRPr="00992B72">
        <w:t xml:space="preserve">, </w:t>
      </w:r>
      <w:r w:rsidRPr="00992B72">
        <w:rPr>
          <w:noProof/>
        </w:rPr>
        <w:t>Indonesia</w:t>
      </w:r>
      <w:r w:rsidR="000649EB">
        <w:t>)</w:t>
      </w:r>
      <w:r w:rsidR="000649EB">
        <w:br/>
      </w:r>
      <w:r w:rsidRPr="00992B72">
        <w:rPr>
          <w:i/>
          <w:noProof/>
        </w:rPr>
        <w:t>The Analysis of Technology Acceptance Model and E-Trust Towards Customer Loyalty in Traveloka’s Airlines E-Ticketing</w:t>
      </w:r>
      <w:r>
        <w:br/>
      </w:r>
      <w:r w:rsidR="000649EB">
        <w:rPr>
          <w:noProof/>
          <w:sz w:val="20"/>
          <w:szCs w:val="20"/>
        </w:rPr>
        <w:br/>
      </w:r>
      <w:r w:rsidRPr="006B739B">
        <w:rPr>
          <w:noProof/>
          <w:sz w:val="20"/>
          <w:szCs w:val="20"/>
        </w:rPr>
        <w:t xml:space="preserve">This study aims to investigate the impact of perceived usefulness, perceived ease of use and e-trust on customer loyalty in Traveloka’s Airlines e-ticketing. This type of study is exploratory research. The questionnaires have been distributed in purposive sampling to 288 student respondents in Faculty of Economics and Business at Brawijaya University. The collective data was processed by Factor Analysis and Multiple Regression Analysis. Factor Analysis showed that the indicators of perceived usefulness, perceived </w:t>
      </w:r>
      <w:r w:rsidRPr="006B739B">
        <w:rPr>
          <w:noProof/>
          <w:sz w:val="20"/>
          <w:szCs w:val="20"/>
        </w:rPr>
        <w:lastRenderedPageBreak/>
        <w:t>ease of use, e-trust and customer loyalty are qualified to represent or explain the formed variable. Moreover, the results from Regression Analysis revealed that the perceived usefulness, perceived ease of use, e-trust and customer loyalty have a simultaneous effect towards customer loyalty. In addition, the three independent variables – except for perceived ease of use – are partially significant on customer loyalty. It is therefore suggested that to increase the loyalty of the customer, companies should improve the customer’s trust on Traveloka website as e-Trust is the dominant variable and the usefulness and easiness of products and services should be maintained.</w:t>
      </w:r>
    </w:p>
    <w:p w:rsidR="006B739B" w:rsidRDefault="006B739B" w:rsidP="006B739B">
      <w:pPr>
        <w:rPr>
          <w:i/>
        </w:rPr>
      </w:pPr>
    </w:p>
    <w:p w:rsidR="006B739B" w:rsidRPr="006B739B" w:rsidRDefault="006B739B" w:rsidP="006B739B">
      <w:r w:rsidRPr="00992B72">
        <w:rPr>
          <w:b/>
          <w:noProof/>
        </w:rPr>
        <w:t>Farah Astri</w:t>
      </w:r>
      <w:r w:rsidRPr="00992B72">
        <w:rPr>
          <w:b/>
        </w:rPr>
        <w:t xml:space="preserve"> </w:t>
      </w:r>
      <w:r w:rsidRPr="00992B72">
        <w:rPr>
          <w:b/>
          <w:noProof/>
        </w:rPr>
        <w:t>Ramadhina</w:t>
      </w:r>
      <w:r w:rsidRPr="00992B72">
        <w:t xml:space="preserve"> (</w:t>
      </w:r>
      <w:r w:rsidRPr="00992B72">
        <w:rPr>
          <w:noProof/>
        </w:rPr>
        <w:t>University of Brawijaya</w:t>
      </w:r>
      <w:r w:rsidRPr="00992B72">
        <w:t xml:space="preserve">, </w:t>
      </w:r>
      <w:r w:rsidRPr="00992B72">
        <w:rPr>
          <w:noProof/>
        </w:rPr>
        <w:t>Indonesia</w:t>
      </w:r>
      <w:r w:rsidR="000649EB">
        <w:t>)</w:t>
      </w:r>
      <w:r w:rsidR="000649EB">
        <w:br/>
      </w:r>
      <w:r w:rsidRPr="00992B72">
        <w:rPr>
          <w:i/>
          <w:noProof/>
        </w:rPr>
        <w:t>The Influence of Hedonic Products, Self-Expressive Brands and Satisfaction on Brand Love and Brand Loyalty: Study of Starbucks’ Consumers in Malang</w:t>
      </w:r>
      <w:r>
        <w:br/>
      </w:r>
      <w:r w:rsidR="000649EB">
        <w:rPr>
          <w:noProof/>
          <w:sz w:val="20"/>
          <w:szCs w:val="20"/>
        </w:rPr>
        <w:br/>
      </w:r>
      <w:r w:rsidRPr="006B739B">
        <w:rPr>
          <w:noProof/>
          <w:sz w:val="20"/>
          <w:szCs w:val="20"/>
        </w:rPr>
        <w:t>The purpose of this study is to examine the effect of hedonic products, self-expressive brands and satisfaction on brand love and brand loyalty of Starbucks from the perspective of consumers in Malang. Convenience sampling of the customers of Starbucks in Malang was used, with 133 respondents. This study used Partial Linear Square (PLS) analysis technique to analyse the data.</w:t>
      </w:r>
    </w:p>
    <w:p w:rsidR="006B739B" w:rsidRPr="006B739B" w:rsidRDefault="006B739B" w:rsidP="006B739B">
      <w:pPr>
        <w:rPr>
          <w:noProof/>
          <w:sz w:val="20"/>
          <w:szCs w:val="20"/>
        </w:rPr>
      </w:pPr>
      <w:r w:rsidRPr="006B739B">
        <w:rPr>
          <w:noProof/>
          <w:sz w:val="20"/>
          <w:szCs w:val="20"/>
        </w:rPr>
        <w:t>The result of this study shows that hedonic products, self-expressive brands and satisfaction have significant effect on brand love. Meanwhile, self-expressive brands have a significant effect on brand loyalty. Moreover, brand love has a significant effect on brand loyalty while hedonic products and satisfaction have no significant effect on brand loyalty. In addition, brand love is indirectly enhancing the influence of hedonic products, self-expressive brands and satisfaction to increase the level of brand loyalty. This study is therefore useful for marketers to profoundly understand the importance of brand love in consumer-brand relationship.</w:t>
      </w:r>
    </w:p>
    <w:p w:rsidR="006B739B" w:rsidRPr="006B739B" w:rsidRDefault="006B739B" w:rsidP="006B739B">
      <w:pPr>
        <w:rPr>
          <w:i/>
        </w:rPr>
      </w:pPr>
    </w:p>
    <w:p w:rsidR="00CD696E" w:rsidRDefault="00CD696E" w:rsidP="00CD696E">
      <w:pPr>
        <w:pStyle w:val="Heading1"/>
        <w:jc w:val="center"/>
      </w:pPr>
      <w:bookmarkStart w:id="69" w:name="_Toc501711956"/>
      <w:r>
        <w:t>SESSION 15</w:t>
      </w:r>
      <w:bookmarkEnd w:id="69"/>
    </w:p>
    <w:p w:rsidR="00CD696E" w:rsidRDefault="00CD696E" w:rsidP="00DD7B70">
      <w:pPr>
        <w:rPr>
          <w:b/>
        </w:rPr>
      </w:pPr>
    </w:p>
    <w:p w:rsidR="003E5931" w:rsidRPr="008F0D2E" w:rsidRDefault="003E5931" w:rsidP="00CD696E">
      <w:pPr>
        <w:pStyle w:val="Heading2"/>
      </w:pPr>
      <w:bookmarkStart w:id="70" w:name="_Toc501711957"/>
      <w:r w:rsidRPr="008F0D2E">
        <w:t>Session 15A (Monash</w:t>
      </w:r>
      <w:r w:rsidR="00B0654E">
        <w:t xml:space="preserve"> University,</w:t>
      </w:r>
      <w:r w:rsidRPr="008F0D2E">
        <w:t xml:space="preserve"> Australia &amp; </w:t>
      </w:r>
      <w:r w:rsidR="006B739B" w:rsidRPr="008F0D2E">
        <w:t>N</w:t>
      </w:r>
      <w:r w:rsidR="006B739B">
        <w:t xml:space="preserve">anyang </w:t>
      </w:r>
      <w:r w:rsidR="006B739B" w:rsidRPr="008F0D2E">
        <w:t>T</w:t>
      </w:r>
      <w:r w:rsidR="006B739B">
        <w:t xml:space="preserve">echnological </w:t>
      </w:r>
      <w:r w:rsidR="006B739B" w:rsidRPr="008F0D2E">
        <w:t>U</w:t>
      </w:r>
      <w:r w:rsidR="006B739B">
        <w:t>niversity, Singapore</w:t>
      </w:r>
      <w:r w:rsidRPr="008F0D2E">
        <w:t>)</w:t>
      </w:r>
      <w:bookmarkEnd w:id="70"/>
      <w:r w:rsidRPr="008F0D2E">
        <w:t xml:space="preserve"> </w:t>
      </w:r>
    </w:p>
    <w:p w:rsidR="003E5931" w:rsidRPr="00CD696E" w:rsidRDefault="00D00F62" w:rsidP="00DD7B70">
      <w:pPr>
        <w:rPr>
          <w:rStyle w:val="SubtleEmphasis"/>
        </w:rPr>
      </w:pPr>
      <w:r w:rsidRPr="00CD696E">
        <w:rPr>
          <w:rStyle w:val="SubtleEmphasis"/>
        </w:rPr>
        <w:t xml:space="preserve">Theme: </w:t>
      </w:r>
      <w:r w:rsidR="006B739B" w:rsidRPr="006B739B">
        <w:rPr>
          <w:rStyle w:val="SubtleEmphasis"/>
        </w:rPr>
        <w:t>Memory and Trauma</w:t>
      </w:r>
    </w:p>
    <w:p w:rsidR="006B739B" w:rsidRPr="00AF0DF1" w:rsidRDefault="00CD696E" w:rsidP="006B739B">
      <w:r>
        <w:rPr>
          <w:b/>
        </w:rPr>
        <w:br/>
      </w:r>
      <w:r w:rsidR="006B739B" w:rsidRPr="00992B72">
        <w:rPr>
          <w:b/>
          <w:noProof/>
        </w:rPr>
        <w:t>Binhui</w:t>
      </w:r>
      <w:r w:rsidR="006B739B" w:rsidRPr="00992B72">
        <w:rPr>
          <w:b/>
        </w:rPr>
        <w:t xml:space="preserve"> </w:t>
      </w:r>
      <w:r w:rsidR="006B739B" w:rsidRPr="00992B72">
        <w:rPr>
          <w:b/>
          <w:noProof/>
        </w:rPr>
        <w:t>Tu</w:t>
      </w:r>
      <w:r w:rsidR="006B739B" w:rsidRPr="00992B72">
        <w:t xml:space="preserve"> (</w:t>
      </w:r>
      <w:r w:rsidR="006B739B" w:rsidRPr="00992B72">
        <w:rPr>
          <w:noProof/>
        </w:rPr>
        <w:t>Monash University</w:t>
      </w:r>
      <w:r w:rsidR="006B739B" w:rsidRPr="00992B72">
        <w:t xml:space="preserve">, </w:t>
      </w:r>
      <w:r w:rsidR="006B739B" w:rsidRPr="00992B72">
        <w:rPr>
          <w:noProof/>
        </w:rPr>
        <w:t>Australia</w:t>
      </w:r>
      <w:r w:rsidR="000649EB">
        <w:t>)</w:t>
      </w:r>
      <w:r w:rsidR="000649EB">
        <w:br/>
      </w:r>
      <w:r w:rsidR="006B739B" w:rsidRPr="00992B72">
        <w:rPr>
          <w:i/>
          <w:noProof/>
        </w:rPr>
        <w:t>The Effect of Sleep on Memory Consolidation for Long-Term Memory</w:t>
      </w:r>
      <w:r w:rsidR="00AF0DF1">
        <w:br/>
      </w:r>
      <w:r w:rsidR="000649EB">
        <w:rPr>
          <w:noProof/>
          <w:sz w:val="20"/>
          <w:szCs w:val="20"/>
        </w:rPr>
        <w:br/>
      </w:r>
      <w:r w:rsidR="006B739B" w:rsidRPr="00AF0DF1">
        <w:rPr>
          <w:noProof/>
          <w:sz w:val="20"/>
          <w:szCs w:val="20"/>
        </w:rPr>
        <w:t xml:space="preserve">Long-term memories usually require a process of consolidating by which novel-encoded memory traces transform into two major long-term representations; namely declarative and procedural memories. Declarative memory encompasses facts and verbal knowledge, whereas procedural memory refers to memory traces of motor skills. It is known that sleep plays a facilitative role in the process of memory consolidation. Recent studies suggest that the consolidation of these two types of memories strongly correlate with rapid eye movement sleep (REM) and non-rapid eye movement sleep (NREM) – collectively known as Stage 1 (S1), Stage 2 (S2) and slow-wave sleep (SWS). However, studies have shown the critical role of sleep stages for memory consolidation remains unclear despite the overnight improvement of memory being investigated since the last century. The current review aims to investigate the impact of sleep stages on declarative and procedural memory consolidation. It was found that processing of new memory traces might be affected by consolidation processes occurring during NREM sleep. Assuming undisturbed sleep has been achieved, brain activities during NREM specifically benefit weak and new declarative memory traces. In contrast, the consolidation of procedure memory appears to correlate with SWS only if the procedural memory consists of motor skills that </w:t>
      </w:r>
      <w:r w:rsidR="006B739B" w:rsidRPr="00AF0DF1">
        <w:rPr>
          <w:noProof/>
          <w:sz w:val="20"/>
          <w:szCs w:val="20"/>
        </w:rPr>
        <w:lastRenderedPageBreak/>
        <w:t>are complex or have multiple reactivation points. It must also be noted that other factors (including the timing of learning before night-time sleep) can also impact the process of consolidation.</w:t>
      </w:r>
    </w:p>
    <w:p w:rsidR="006B739B" w:rsidRDefault="006B739B" w:rsidP="006B739B">
      <w:pPr>
        <w:rPr>
          <w:sz w:val="20"/>
        </w:rPr>
      </w:pPr>
    </w:p>
    <w:p w:rsidR="00AF0DF1" w:rsidRPr="000649EB" w:rsidRDefault="00AF0DF1" w:rsidP="00AF0DF1">
      <w:r w:rsidRPr="009D352D">
        <w:rPr>
          <w:b/>
          <w:noProof/>
        </w:rPr>
        <w:t>Adlina Binte</w:t>
      </w:r>
      <w:r w:rsidRPr="009D352D">
        <w:rPr>
          <w:b/>
        </w:rPr>
        <w:t xml:space="preserve"> </w:t>
      </w:r>
      <w:r w:rsidRPr="009D352D">
        <w:rPr>
          <w:b/>
          <w:noProof/>
        </w:rPr>
        <w:t>Ashar</w:t>
      </w:r>
      <w:r w:rsidRPr="009D352D">
        <w:t xml:space="preserve"> (</w:t>
      </w:r>
      <w:r w:rsidRPr="009D352D">
        <w:rPr>
          <w:noProof/>
        </w:rPr>
        <w:t>Nanyang Technological University (NTU)</w:t>
      </w:r>
      <w:r w:rsidRPr="009D352D">
        <w:t xml:space="preserve">, </w:t>
      </w:r>
      <w:r w:rsidRPr="009D352D">
        <w:rPr>
          <w:noProof/>
        </w:rPr>
        <w:t>Singapore</w:t>
      </w:r>
      <w:r w:rsidR="000649EB">
        <w:t>)</w:t>
      </w:r>
      <w:r w:rsidR="000649EB">
        <w:br/>
      </w:r>
      <w:r w:rsidRPr="009D352D">
        <w:rPr>
          <w:i/>
          <w:noProof/>
        </w:rPr>
        <w:t>Love and Memory in the Underworld</w:t>
      </w:r>
      <w:r>
        <w:br/>
      </w:r>
      <w:r w:rsidR="000649EB">
        <w:rPr>
          <w:noProof/>
          <w:sz w:val="20"/>
          <w:szCs w:val="20"/>
        </w:rPr>
        <w:br/>
      </w:r>
      <w:r w:rsidRPr="00AF0DF1">
        <w:rPr>
          <w:noProof/>
          <w:sz w:val="20"/>
          <w:szCs w:val="20"/>
        </w:rPr>
        <w:t>The descent to the Underworld, or katabasis, is a distinct convention of classical literature. The hero must brave all odds and enter the Underworld, which mortal men do not enter and from which they do not return. Some are motivated by the glory, others, by Love. Among those who descend for love, one of the most notable is Orpheus, whose love for his young bride Eurydice led him to face the King and Queen of the Underworld. His tale is regarded as a tragedy, as he was unable to rescue his love and returned to the upper air empty handed and heartbroken. On the other end of the spectrum, there is Aeneas who manages to successfully visit his father, and at the same time learns new information about the future and his descendants. Despite the similar motivation of Love and Memory of a lost loved one, the two heroes are faced with such different outcomes. This project thus aims to examine the theme of katabasis and identify what then makes a successful journey to the Underworld by studying the interplay between Love and Memory in the two texts as well as the role that Grief – an outcome of that relationship – plays in the making of a successful katabasis.</w:t>
      </w:r>
    </w:p>
    <w:p w:rsidR="00AF0DF1" w:rsidRDefault="00AF0DF1" w:rsidP="006B739B">
      <w:pPr>
        <w:rPr>
          <w:sz w:val="20"/>
        </w:rPr>
      </w:pPr>
    </w:p>
    <w:p w:rsidR="00AF0DF1" w:rsidRPr="00AF0DF1" w:rsidRDefault="00AF0DF1" w:rsidP="00AF0DF1">
      <w:r w:rsidRPr="00992B72">
        <w:rPr>
          <w:b/>
          <w:noProof/>
        </w:rPr>
        <w:t>Nicole Yeo Yew</w:t>
      </w:r>
      <w:r w:rsidRPr="00992B72">
        <w:rPr>
          <w:b/>
        </w:rPr>
        <w:t xml:space="preserve"> </w:t>
      </w:r>
      <w:r w:rsidRPr="00992B72">
        <w:rPr>
          <w:b/>
          <w:noProof/>
        </w:rPr>
        <w:t>Min</w:t>
      </w:r>
      <w:r w:rsidRPr="00992B72">
        <w:t xml:space="preserve"> (</w:t>
      </w:r>
      <w:r w:rsidRPr="00992B72">
        <w:rPr>
          <w:noProof/>
        </w:rPr>
        <w:t>Nanyang Technological University (NTU)</w:t>
      </w:r>
      <w:r w:rsidRPr="00992B72">
        <w:t xml:space="preserve">, </w:t>
      </w:r>
      <w:r w:rsidRPr="00992B72">
        <w:rPr>
          <w:noProof/>
        </w:rPr>
        <w:t>Singapore</w:t>
      </w:r>
      <w:r w:rsidR="000649EB">
        <w:t>)</w:t>
      </w:r>
      <w:r w:rsidR="000649EB">
        <w:br/>
      </w:r>
      <w:r w:rsidRPr="00992B72">
        <w:rPr>
          <w:i/>
          <w:noProof/>
        </w:rPr>
        <w:t>The Social Commentary of an All-Knowing Narrator</w:t>
      </w:r>
      <w:r>
        <w:br/>
      </w:r>
      <w:r w:rsidR="000649EB">
        <w:rPr>
          <w:noProof/>
          <w:sz w:val="20"/>
          <w:szCs w:val="20"/>
        </w:rPr>
        <w:br/>
      </w:r>
      <w:r w:rsidRPr="00AF0DF1">
        <w:rPr>
          <w:noProof/>
          <w:sz w:val="20"/>
          <w:szCs w:val="20"/>
        </w:rPr>
        <w:t xml:space="preserve">In the year 1946, German author Anna Seghers wrote her semi-autobiographical novella </w:t>
      </w:r>
      <w:r w:rsidRPr="00AF0DF1">
        <w:rPr>
          <w:i/>
          <w:noProof/>
          <w:sz w:val="20"/>
          <w:szCs w:val="20"/>
        </w:rPr>
        <w:t>The Outing of the Dead Schoolgirls</w:t>
      </w:r>
      <w:r w:rsidRPr="00AF0DF1">
        <w:rPr>
          <w:noProof/>
          <w:sz w:val="20"/>
          <w:szCs w:val="20"/>
        </w:rPr>
        <w:t xml:space="preserve"> during her exile in Mexico (during 1941 to 1947). She suffered from both physical and emotional traumas, having met with a car accident and having lost her mother while still in exile. This essay explores how Seghers’ use of childhood memory as a trope to work through trauma allows the protagonist a mental space that acts as a sanctuary to recover from trauma. The essay argues that Seghers attempts to reunite the protagonist with her mother, but the plot disallows this anticipated trajectory. The protagonist’s failure to meet her mother demonstrates that a survivor (like Seghers) is unable to obtain closure, therefore causing them to repeatedly revisit the traumatic memory. The essay utilises the explanation of Dominick LaCapra, a trauma theorist and Holocaust historian, that the desire for a connection with the ‘dead intimates’ causes trauma survivors to ‘invest’ in the trauma memory by reliving and prolonging the experience as a ‘necessary commemoration or memorial’ that the dead did not receive. These survivors are often provoked by their experiences of the war, leaving the individual with recurring reminders of the dead and their memories of them. The desire to return to these memories and to commune with the dead complicates the process of working through the trauma that would enable victims to recover from their emotional and mental scars.</w:t>
      </w:r>
    </w:p>
    <w:p w:rsidR="0057222B" w:rsidRPr="008F0D2E" w:rsidRDefault="0057222B" w:rsidP="00DD7B70"/>
    <w:p w:rsidR="003E5931" w:rsidRPr="008F0D2E" w:rsidRDefault="003E5931" w:rsidP="00CD696E">
      <w:pPr>
        <w:pStyle w:val="Heading2"/>
      </w:pPr>
      <w:bookmarkStart w:id="71" w:name="_Toc501711958"/>
      <w:r w:rsidRPr="008F0D2E">
        <w:t xml:space="preserve">Session 15B (Monash </w:t>
      </w:r>
      <w:r w:rsidR="00B0654E">
        <w:t xml:space="preserve">University, </w:t>
      </w:r>
      <w:r w:rsidRPr="008F0D2E">
        <w:t>Australia &amp;</w:t>
      </w:r>
      <w:r w:rsidR="00AF0DF1">
        <w:t xml:space="preserve"> Malaysia</w:t>
      </w:r>
      <w:r w:rsidRPr="008F0D2E">
        <w:t>)</w:t>
      </w:r>
      <w:bookmarkEnd w:id="71"/>
      <w:r w:rsidRPr="008F0D2E">
        <w:t xml:space="preserve"> </w:t>
      </w:r>
    </w:p>
    <w:p w:rsidR="003E5931" w:rsidRPr="00AF0DF1" w:rsidRDefault="00D00F62" w:rsidP="00DD7B70">
      <w:pPr>
        <w:rPr>
          <w:i/>
        </w:rPr>
      </w:pPr>
      <w:r w:rsidRPr="00AF0DF1">
        <w:rPr>
          <w:i/>
        </w:rPr>
        <w:t xml:space="preserve">Theme: </w:t>
      </w:r>
      <w:r w:rsidR="00AF0DF1" w:rsidRPr="00AF0DF1">
        <w:rPr>
          <w:i/>
        </w:rPr>
        <w:t>Disease</w:t>
      </w:r>
    </w:p>
    <w:p w:rsidR="00BF4AE1" w:rsidRDefault="00BF4AE1" w:rsidP="00AF0DF1">
      <w:pPr>
        <w:rPr>
          <w:b/>
          <w:noProof/>
        </w:rPr>
      </w:pPr>
    </w:p>
    <w:p w:rsidR="00AF0DF1" w:rsidRPr="00AF0DF1" w:rsidRDefault="00AF0DF1" w:rsidP="00AF0DF1">
      <w:r w:rsidRPr="00992B72">
        <w:rPr>
          <w:b/>
          <w:noProof/>
        </w:rPr>
        <w:t>Hamish</w:t>
      </w:r>
      <w:r w:rsidRPr="00992B72">
        <w:rPr>
          <w:b/>
        </w:rPr>
        <w:t xml:space="preserve"> </w:t>
      </w:r>
      <w:r w:rsidRPr="00992B72">
        <w:rPr>
          <w:b/>
          <w:noProof/>
        </w:rPr>
        <w:t>Brown</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Characteristics, Management and Clinical Outcomes of Patients Admitted to the Intensive Care Unit with Chronic Obstructive Pulmonary Disease</w:t>
      </w:r>
      <w:r>
        <w:br/>
      </w:r>
      <w:r w:rsidR="000649EB">
        <w:rPr>
          <w:noProof/>
          <w:sz w:val="20"/>
          <w:szCs w:val="20"/>
        </w:rPr>
        <w:br/>
      </w:r>
      <w:r w:rsidRPr="00AF0DF1">
        <w:rPr>
          <w:noProof/>
          <w:sz w:val="20"/>
          <w:szCs w:val="20"/>
        </w:rPr>
        <w:t xml:space="preserve">Chronic Obstructive Pulmonary Disease (COPD) is a progressive illness affecting the lungs. It is characterised by narrowing of the airways due to inflammation (bronchitis) and destruction of the lung tissue required for oxygen and carbon dioxide transfer between lungs and blood stream. (emphysema). The World Health </w:t>
      </w:r>
      <w:r w:rsidRPr="00AF0DF1">
        <w:rPr>
          <w:noProof/>
          <w:sz w:val="20"/>
          <w:szCs w:val="20"/>
        </w:rPr>
        <w:lastRenderedPageBreak/>
        <w:t>Organisation predicts COPD will be the third leading cause of death worldwide by 2020. Patients with advanced disease have severe respiratory impairment and may require Intensive Care Unit (ICU) admission. There is no recent evidence from the Australian setting on characteristics of patients admitted to ICU with COPD exacerbation. Our research aimed to characterise these patients and identify factors associated with their outcomes. This may help optimise their future outcomes and aid prognostication.</w:t>
      </w:r>
    </w:p>
    <w:p w:rsidR="00AF0DF1" w:rsidRPr="00AF0DF1" w:rsidRDefault="00AF0DF1" w:rsidP="00AF0DF1">
      <w:pPr>
        <w:rPr>
          <w:noProof/>
          <w:sz w:val="20"/>
          <w:szCs w:val="20"/>
        </w:rPr>
      </w:pPr>
      <w:r w:rsidRPr="00AF0DF1">
        <w:rPr>
          <w:noProof/>
          <w:sz w:val="20"/>
          <w:szCs w:val="20"/>
        </w:rPr>
        <w:t>Of the diagnosed with COPD and admitted to the ICU at Frankston Hospital (Victoria, Australia) over 10.5 years, 305 were retrospectively analysed. Variables analysed included patient demographics, comorbidities, lung-function tests and blood tests on admission. Approximately 18% of patients died in hospital. Multi-variable analysis revealed that patients requiring home oxygen prior to hospital admission were over twice as likely to die in hospital (p=0.045; odds ratio=2.64); and patients requiring invasive mechanical ventilation were over four times more likely to pass away than those that did not (p=0.003; OR=4.79).</w:t>
      </w:r>
    </w:p>
    <w:p w:rsidR="00AF0DF1" w:rsidRPr="00AF0DF1" w:rsidRDefault="00AF0DF1" w:rsidP="00AF0DF1">
      <w:pPr>
        <w:rPr>
          <w:sz w:val="20"/>
          <w:szCs w:val="20"/>
        </w:rPr>
      </w:pPr>
      <w:r w:rsidRPr="00AF0DF1">
        <w:rPr>
          <w:noProof/>
          <w:sz w:val="20"/>
          <w:szCs w:val="20"/>
        </w:rPr>
        <w:t>This study represents the largest study conducted on this patient population in a Western country over recent years. These results will therefore have utility in prognostication and management of future patients admitted to ICU with COPD.</w:t>
      </w:r>
    </w:p>
    <w:p w:rsidR="00CD696E" w:rsidRDefault="00CD696E" w:rsidP="00DD7B70">
      <w:pPr>
        <w:rPr>
          <w:b/>
        </w:rPr>
      </w:pPr>
    </w:p>
    <w:p w:rsidR="00AF0DF1" w:rsidRPr="00AF0DF1" w:rsidRDefault="00AF0DF1" w:rsidP="00AF0DF1">
      <w:r w:rsidRPr="00992B72">
        <w:rPr>
          <w:b/>
          <w:noProof/>
        </w:rPr>
        <w:t>Evan</w:t>
      </w:r>
      <w:r w:rsidRPr="00992B72">
        <w:rPr>
          <w:b/>
        </w:rPr>
        <w:t xml:space="preserve"> </w:t>
      </w:r>
      <w:r w:rsidRPr="00992B72">
        <w:rPr>
          <w:b/>
          <w:noProof/>
        </w:rPr>
        <w:t>Kuma</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The Use of Mesenchymal Stem Cells Coupled with Hydrogel as an Effective Treatment for Diabetic Nephropathy</w:t>
      </w:r>
      <w:r>
        <w:br/>
      </w:r>
      <w:r w:rsidR="000649EB">
        <w:rPr>
          <w:noProof/>
          <w:sz w:val="20"/>
          <w:szCs w:val="20"/>
        </w:rPr>
        <w:br/>
      </w:r>
      <w:r w:rsidRPr="00AF0DF1">
        <w:rPr>
          <w:noProof/>
          <w:sz w:val="20"/>
          <w:szCs w:val="20"/>
        </w:rPr>
        <w:t>Type 2 diabetes mellitus (T2DM) is a global epidemic, with prevalence of the disease increasing from 13% in 1987 to 23% in 2007, and with over 600 million people forecast to be affected by T2DM in 2035. Of those affected, 50% will suffer from Chronic Kidney Disease (CKD), which is a regular comorbidity. Diabetic nephropathy (DN), one of the causes of CKD, is commonly associated with inflammation and fibrosis, and is a precursor to end-stage kidney disease. Mesenchymal stem cells (MSC), which have been shown to modulate the immune response and to secrete anti-inflammatory cytokines, may be of clinical significance in an inflammatory environment – such as during DN, as slowing down the progression of fibrosis can prevent DN. Recently, the use of biosynthetic self-assembling hydrogels as a scaffold for stem cells has been demonstrated, with a paper by Rustad</w:t>
      </w:r>
      <w:r w:rsidRPr="00AF0DF1">
        <w:rPr>
          <w:i/>
          <w:noProof/>
          <w:sz w:val="20"/>
          <w:szCs w:val="20"/>
        </w:rPr>
        <w:t xml:space="preserve"> et al.</w:t>
      </w:r>
      <w:r w:rsidRPr="00AF0DF1">
        <w:rPr>
          <w:noProof/>
          <w:sz w:val="20"/>
          <w:szCs w:val="20"/>
        </w:rPr>
        <w:t xml:space="preserve"> demonstrating that hydrogels allowed for the increased secretion of cytokines compared to MSC’s grown in media. The aim of this project will be to characterise the optimal percentage of hydrogel required to grow MSCs and the optimal time frame in which to do so. Before thought can be given to in vivo studies, the optimal percentage of hydrogel for growth of MSCs must first be elucidated. Following the given time for the MSCs to grow in the hydrogel, a live/dead cell assay will be conducted to determine the ratio of live to dead cells.</w:t>
      </w:r>
    </w:p>
    <w:p w:rsidR="00AF0DF1" w:rsidRDefault="00AF0DF1" w:rsidP="00DD7B70">
      <w:pPr>
        <w:rPr>
          <w:b/>
        </w:rPr>
      </w:pPr>
    </w:p>
    <w:p w:rsidR="000240C6" w:rsidRPr="000649EB" w:rsidRDefault="000240C6" w:rsidP="000240C6">
      <w:r>
        <w:rPr>
          <w:b/>
        </w:rPr>
        <w:t>Mahend</w:t>
      </w:r>
      <w:r w:rsidRPr="000240C6">
        <w:rPr>
          <w:b/>
        </w:rPr>
        <w:t>an Arun Prasad</w:t>
      </w:r>
      <w:r w:rsidRPr="000240C6">
        <w:t xml:space="preserve"> (Monash University,</w:t>
      </w:r>
      <w:r w:rsidR="00AF0DF1" w:rsidRPr="000240C6">
        <w:t xml:space="preserve"> Malaysia</w:t>
      </w:r>
      <w:r w:rsidRPr="000240C6">
        <w:t>)</w:t>
      </w:r>
      <w:r w:rsidR="000649EB">
        <w:br/>
      </w:r>
      <w:r w:rsidRPr="000240C6">
        <w:rPr>
          <w:i/>
        </w:rPr>
        <w:t>Endogenous molecules as candidate early indi</w:t>
      </w:r>
      <w:r>
        <w:rPr>
          <w:i/>
        </w:rPr>
        <w:t>cator for Type-2 diabetes</w:t>
      </w:r>
    </w:p>
    <w:p w:rsidR="000240C6" w:rsidRPr="000649EB" w:rsidRDefault="000240C6" w:rsidP="000240C6">
      <w:pPr>
        <w:rPr>
          <w:sz w:val="20"/>
          <w:szCs w:val="20"/>
        </w:rPr>
      </w:pPr>
      <w:r w:rsidRPr="000649EB">
        <w:rPr>
          <w:sz w:val="20"/>
          <w:szCs w:val="20"/>
        </w:rPr>
        <w:t xml:space="preserve">Type 2 diabetes is a metabolic disorder and early diagnosis is crucial for preventing onset of diabetes and its complications. Endogenous molecules reflects the fate of metabolic processes. CYP2E1, a member of the cytochrome P450 superfamily plays important roles in metabolism of many endogenous and exogenous compounds. Recent studies have shown that CYP2E1 expression in peripheral lymphocytes is elevated in diabetes and kidney disorders, hence could be a candidate early indicator for diabetes risk. </w:t>
      </w:r>
    </w:p>
    <w:p w:rsidR="000240C6" w:rsidRPr="000649EB" w:rsidRDefault="000240C6" w:rsidP="000240C6">
      <w:pPr>
        <w:rPr>
          <w:sz w:val="20"/>
          <w:szCs w:val="20"/>
        </w:rPr>
      </w:pPr>
      <w:r w:rsidRPr="000649EB">
        <w:rPr>
          <w:sz w:val="20"/>
          <w:szCs w:val="20"/>
        </w:rPr>
        <w:t xml:space="preserve">The aim of this research is to optimize and validate a targeted approach for quantitating CYP2E1, the applicability of CYP2E1 quantitation alongside clinical indices currently used for diagnosis of type 2 diabetes (HbA1c and fasting blood sugar (FBG)) and the correlation of circulating CYP2E1 protein amounts with CYP2E1 gene expression and reactive oxygen species levels (ROS). </w:t>
      </w:r>
    </w:p>
    <w:p w:rsidR="000240C6" w:rsidRPr="000649EB" w:rsidRDefault="000240C6" w:rsidP="000240C6">
      <w:pPr>
        <w:rPr>
          <w:sz w:val="20"/>
          <w:szCs w:val="20"/>
        </w:rPr>
      </w:pPr>
      <w:r w:rsidRPr="000649EB">
        <w:rPr>
          <w:sz w:val="20"/>
          <w:szCs w:val="20"/>
        </w:rPr>
        <w:lastRenderedPageBreak/>
        <w:t xml:space="preserve">Fasting blood samples were collected from healthy (control; C), pre-diabetic (PD) and diabetic (D) individuals. HbA1c, ROS and FBG were quantitated from plasma. Lymphocytes were isolated for gene expression analysis and preparation of unique CYP2E1 peptides. CYP2E1 was quantitated using QQQ-LCMS. </w:t>
      </w:r>
    </w:p>
    <w:p w:rsidR="000240C6" w:rsidRPr="000649EB" w:rsidRDefault="000240C6" w:rsidP="000240C6">
      <w:pPr>
        <w:rPr>
          <w:sz w:val="20"/>
          <w:szCs w:val="20"/>
        </w:rPr>
      </w:pPr>
      <w:r w:rsidRPr="000649EB">
        <w:rPr>
          <w:sz w:val="20"/>
          <w:szCs w:val="20"/>
        </w:rPr>
        <w:t xml:space="preserve">Findings of this study showed the means of CYP2E1 amounts for PD and D groups were significantly higher than the C group (p&lt;0.001). No significant difference was seen between the means of PD and D groups (p=0.905). CYP2E1 gene expression showed up regulation even when HbA1c was still within normal reference limits. </w:t>
      </w:r>
    </w:p>
    <w:p w:rsidR="000240C6" w:rsidRPr="000649EB" w:rsidRDefault="000240C6" w:rsidP="000240C6">
      <w:pPr>
        <w:rPr>
          <w:sz w:val="20"/>
          <w:szCs w:val="20"/>
        </w:rPr>
      </w:pPr>
      <w:r w:rsidRPr="000649EB">
        <w:rPr>
          <w:sz w:val="20"/>
          <w:szCs w:val="20"/>
        </w:rPr>
        <w:t>Observations from our study suggested CYP2E1 is an earlier indicated for diabetes in comparison to HbA1c and FBG.</w:t>
      </w:r>
    </w:p>
    <w:p w:rsidR="000240C6" w:rsidRDefault="000240C6" w:rsidP="00DD7B70">
      <w:pPr>
        <w:rPr>
          <w:b/>
        </w:rPr>
      </w:pPr>
    </w:p>
    <w:p w:rsidR="00AF0DF1" w:rsidRPr="00AF0DF1" w:rsidRDefault="00AF0DF1" w:rsidP="00AF0DF1">
      <w:r w:rsidRPr="00992B72">
        <w:rPr>
          <w:b/>
          <w:noProof/>
        </w:rPr>
        <w:t>Jay Shen</w:t>
      </w:r>
      <w:r w:rsidRPr="00992B72">
        <w:rPr>
          <w:b/>
        </w:rPr>
        <w:t xml:space="preserve"> </w:t>
      </w:r>
      <w:r w:rsidRPr="00992B72">
        <w:rPr>
          <w:b/>
          <w:noProof/>
        </w:rPr>
        <w:t>Ng</w:t>
      </w:r>
      <w:r w:rsidRPr="00992B72">
        <w:t xml:space="preserve"> (</w:t>
      </w:r>
      <w:r w:rsidRPr="00992B72">
        <w:rPr>
          <w:noProof/>
        </w:rPr>
        <w:t>Monash University</w:t>
      </w:r>
      <w:r w:rsidRPr="00992B72">
        <w:t xml:space="preserve">, </w:t>
      </w:r>
      <w:r w:rsidRPr="00992B72">
        <w:rPr>
          <w:noProof/>
        </w:rPr>
        <w:t>Malaysia</w:t>
      </w:r>
      <w:r w:rsidR="000649EB">
        <w:t>)</w:t>
      </w:r>
      <w:r w:rsidR="000649EB">
        <w:br/>
      </w:r>
      <w:r w:rsidRPr="00992B72">
        <w:rPr>
          <w:i/>
          <w:noProof/>
        </w:rPr>
        <w:t>Revisiting Cutaneous Endometriosis: What is the missing link?</w:t>
      </w:r>
      <w:r>
        <w:br/>
      </w:r>
      <w:r w:rsidR="000649EB">
        <w:rPr>
          <w:noProof/>
          <w:sz w:val="20"/>
          <w:szCs w:val="20"/>
        </w:rPr>
        <w:br/>
      </w:r>
      <w:r w:rsidRPr="00AF0DF1">
        <w:rPr>
          <w:noProof/>
          <w:sz w:val="20"/>
          <w:szCs w:val="20"/>
        </w:rPr>
        <w:t>Endometriosis is the growth of ectopic endometrial glands and stroma outside the uterine corpus, which causes significant distress to women worldwide. However, the only established aetiology of cutaneous endometriosis till date is the iatrogenic inoculation of endometrial tissues after uterine surgeries.</w:t>
      </w:r>
    </w:p>
    <w:p w:rsidR="00AF0DF1" w:rsidRPr="00AF0DF1" w:rsidRDefault="00AF0DF1" w:rsidP="00AF0DF1">
      <w:pPr>
        <w:rPr>
          <w:noProof/>
          <w:sz w:val="20"/>
          <w:szCs w:val="20"/>
        </w:rPr>
      </w:pPr>
      <w:r w:rsidRPr="00AF0DF1">
        <w:rPr>
          <w:noProof/>
          <w:sz w:val="20"/>
          <w:szCs w:val="20"/>
        </w:rPr>
        <w:t>To re-explore the plausible aetiopathogenesis, cases of cutaneous endometriosis will be extracted from the clinical audits of the Obstetrics &amp; Gynaecology Department in a local General Hospital from 2006 to 2016. Only cases with a confirmed histopathological diagnosis of endometriosis are included.</w:t>
      </w:r>
    </w:p>
    <w:p w:rsidR="00AF0DF1" w:rsidRPr="00AF0DF1" w:rsidRDefault="00AF0DF1" w:rsidP="00AF0DF1">
      <w:pPr>
        <w:rPr>
          <w:noProof/>
          <w:sz w:val="20"/>
          <w:szCs w:val="20"/>
        </w:rPr>
      </w:pPr>
      <w:r w:rsidRPr="00AF0DF1">
        <w:rPr>
          <w:noProof/>
          <w:sz w:val="20"/>
          <w:szCs w:val="20"/>
        </w:rPr>
        <w:t>Patients’ demographics and symptomatology such as age, parity, presenting complaints, previous surgery and lag time before presentation are collated from each case study. Clinical features including the presence or absence of co-existing extra-cutaneous endometriosis, type, site and size of endometriosis, histology of excised nodules and recurrence rate will be recalled and compared. The data will be reviewed and analysed using the SPSS. A literature review will be also conducted to compare the results obtained and establish any possible missing link to the aetiologies of cutaneous endometriosis.</w:t>
      </w:r>
    </w:p>
    <w:p w:rsidR="00AF0DF1" w:rsidRPr="00AF0DF1" w:rsidRDefault="00AF0DF1" w:rsidP="00AF0DF1">
      <w:pPr>
        <w:rPr>
          <w:sz w:val="20"/>
          <w:szCs w:val="20"/>
        </w:rPr>
      </w:pPr>
      <w:r w:rsidRPr="00AF0DF1">
        <w:rPr>
          <w:noProof/>
          <w:sz w:val="20"/>
          <w:szCs w:val="20"/>
        </w:rPr>
        <w:t>The research findings act to elucidate the possible aetiopathogenesis of cutaneous endometriosis, drawing the need to discover newer modalities of treatment and prevention of cutaneous endometriosis. It will also be submitted for possible publication.</w:t>
      </w:r>
    </w:p>
    <w:p w:rsidR="0057222B" w:rsidRPr="008F0D2E" w:rsidRDefault="0057222B" w:rsidP="00DD7B70"/>
    <w:p w:rsidR="003E5931" w:rsidRPr="008F0D2E" w:rsidRDefault="003E5931" w:rsidP="00CD696E">
      <w:pPr>
        <w:pStyle w:val="Heading2"/>
      </w:pPr>
      <w:bookmarkStart w:id="72" w:name="_Toc501711959"/>
      <w:r w:rsidRPr="008F0D2E">
        <w:t xml:space="preserve">Session 15C (Monash </w:t>
      </w:r>
      <w:r w:rsidR="00B0654E">
        <w:t xml:space="preserve">University </w:t>
      </w:r>
      <w:r w:rsidRPr="008F0D2E">
        <w:t>Australia &amp;</w:t>
      </w:r>
      <w:r w:rsidR="00AF0DF1">
        <w:t xml:space="preserve"> University of Brawijaya, Indonesia</w:t>
      </w:r>
      <w:r w:rsidRPr="008F0D2E">
        <w:t>)</w:t>
      </w:r>
      <w:bookmarkEnd w:id="72"/>
      <w:r w:rsidRPr="008F0D2E">
        <w:t xml:space="preserve"> </w:t>
      </w:r>
    </w:p>
    <w:p w:rsidR="003E5931" w:rsidRPr="00CD696E" w:rsidRDefault="00D00F62" w:rsidP="00DD7B70">
      <w:pPr>
        <w:rPr>
          <w:rStyle w:val="SubtleEmphasis"/>
        </w:rPr>
      </w:pPr>
      <w:r w:rsidRPr="00CD696E">
        <w:rPr>
          <w:rStyle w:val="SubtleEmphasis"/>
        </w:rPr>
        <w:t xml:space="preserve">Theme: </w:t>
      </w:r>
      <w:r w:rsidR="00AF0DF1" w:rsidRPr="00AF0DF1">
        <w:rPr>
          <w:rStyle w:val="SubtleEmphasis"/>
        </w:rPr>
        <w:t>Finance, Trade &amp; Privacy</w:t>
      </w:r>
    </w:p>
    <w:p w:rsidR="00AF0DF1" w:rsidRPr="00643B46" w:rsidRDefault="00CD696E" w:rsidP="00AF0DF1">
      <w:r>
        <w:rPr>
          <w:b/>
        </w:rPr>
        <w:br/>
      </w:r>
      <w:r w:rsidR="00AF0DF1" w:rsidRPr="00992B72">
        <w:rPr>
          <w:b/>
          <w:noProof/>
        </w:rPr>
        <w:t>Naomi</w:t>
      </w:r>
      <w:r w:rsidR="00AF0DF1" w:rsidRPr="00992B72">
        <w:rPr>
          <w:b/>
        </w:rPr>
        <w:t xml:space="preserve"> </w:t>
      </w:r>
      <w:r w:rsidR="00AF0DF1" w:rsidRPr="00992B72">
        <w:rPr>
          <w:b/>
          <w:noProof/>
        </w:rPr>
        <w:t>Lampe</w:t>
      </w:r>
      <w:r w:rsidR="00AF0DF1" w:rsidRPr="00992B72">
        <w:t xml:space="preserve"> (</w:t>
      </w:r>
      <w:r w:rsidR="00AF0DF1" w:rsidRPr="00992B72">
        <w:rPr>
          <w:noProof/>
        </w:rPr>
        <w:t>Monash University</w:t>
      </w:r>
      <w:r w:rsidR="00AF0DF1" w:rsidRPr="00992B72">
        <w:t xml:space="preserve">, </w:t>
      </w:r>
      <w:r w:rsidR="00AF0DF1" w:rsidRPr="00992B72">
        <w:rPr>
          <w:noProof/>
        </w:rPr>
        <w:t>Australia</w:t>
      </w:r>
      <w:r w:rsidR="000649EB">
        <w:t>)</w:t>
      </w:r>
      <w:r w:rsidR="000649EB">
        <w:br/>
      </w:r>
      <w:r w:rsidR="00AF0DF1" w:rsidRPr="00992B72">
        <w:rPr>
          <w:i/>
          <w:noProof/>
        </w:rPr>
        <w:t>Privacy in the Age of Big Data Analysis: Finding the balance between utility and individual privacy rights</w:t>
      </w:r>
      <w:r w:rsidR="00643B46">
        <w:br/>
      </w:r>
      <w:r w:rsidR="000649EB">
        <w:rPr>
          <w:noProof/>
          <w:sz w:val="20"/>
          <w:szCs w:val="20"/>
        </w:rPr>
        <w:br/>
      </w:r>
      <w:r w:rsidR="00AF0DF1" w:rsidRPr="00643B46">
        <w:rPr>
          <w:noProof/>
          <w:sz w:val="20"/>
          <w:szCs w:val="20"/>
        </w:rPr>
        <w:t>Big data analysis involves the examination of large amounts of data to uncover patterns, customer preferences and correlations. It is becoming increasingly common to encounter its use in everyday life, as seen when phones suggest possible activities based on the interests of their owner. Big data analysis often generates new data about individuals, which can be used by companies when marketing. This raises privacy concerns, including concerns about the use of predictive analytics to create data profiles of individuals and the discriminatory marketing practices this may facilitate.</w:t>
      </w:r>
    </w:p>
    <w:p w:rsidR="00AF0DF1" w:rsidRPr="00643B46" w:rsidRDefault="00AF0DF1" w:rsidP="00AF0DF1">
      <w:pPr>
        <w:rPr>
          <w:sz w:val="20"/>
          <w:szCs w:val="20"/>
        </w:rPr>
      </w:pPr>
      <w:r w:rsidRPr="00643B46">
        <w:rPr>
          <w:noProof/>
          <w:sz w:val="20"/>
          <w:szCs w:val="20"/>
        </w:rPr>
        <w:t>This research will explore what changes need to be made to privacy law in order to adequately protect the privacy of consumers. In answering these questions, judicial commentary from privacy law cases, academic writings and the models of pr</w:t>
      </w:r>
      <w:bookmarkStart w:id="73" w:name="_GoBack"/>
      <w:bookmarkEnd w:id="73"/>
      <w:r w:rsidRPr="00643B46">
        <w:rPr>
          <w:noProof/>
          <w:sz w:val="20"/>
          <w:szCs w:val="20"/>
        </w:rPr>
        <w:t xml:space="preserve">ivacy protection found in Europe, Australia and America will be considered. </w:t>
      </w:r>
      <w:r w:rsidRPr="00643B46">
        <w:rPr>
          <w:noProof/>
          <w:sz w:val="20"/>
          <w:szCs w:val="20"/>
        </w:rPr>
        <w:lastRenderedPageBreak/>
        <w:t>Changes in technology such as the emergence of big data analytics provide challenges to current privacy regulation. Getting the balance of privacy regulation right is an important issue relevant to consumers worldwide that needs to be considered in step with technological development.</w:t>
      </w:r>
    </w:p>
    <w:p w:rsidR="00435BE6" w:rsidRDefault="00435BE6" w:rsidP="00AF0DF1">
      <w:pPr>
        <w:rPr>
          <w:sz w:val="20"/>
        </w:rPr>
      </w:pPr>
    </w:p>
    <w:p w:rsidR="00643B46" w:rsidRPr="00992B72" w:rsidRDefault="00643B46" w:rsidP="00643B46">
      <w:r w:rsidRPr="00992B72">
        <w:rPr>
          <w:b/>
          <w:noProof/>
        </w:rPr>
        <w:t>Liyan</w:t>
      </w:r>
      <w:r w:rsidRPr="00992B72">
        <w:rPr>
          <w:b/>
        </w:rPr>
        <w:t xml:space="preserve"> </w:t>
      </w:r>
      <w:r w:rsidRPr="00992B72">
        <w:rPr>
          <w:b/>
          <w:noProof/>
        </w:rPr>
        <w:t>Zhang</w:t>
      </w:r>
      <w:r w:rsidRPr="00992B72">
        <w:t xml:space="preserve"> (</w:t>
      </w:r>
      <w:r w:rsidRPr="00992B72">
        <w:rPr>
          <w:noProof/>
        </w:rPr>
        <w:t>Monash University</w:t>
      </w:r>
      <w:r w:rsidRPr="00992B72">
        <w:t xml:space="preserve">, </w:t>
      </w:r>
      <w:r w:rsidRPr="00992B72">
        <w:rPr>
          <w:noProof/>
        </w:rPr>
        <w:t>Australia</w:t>
      </w:r>
      <w:r w:rsidR="000649EB">
        <w:t>)</w:t>
      </w:r>
      <w:r w:rsidR="000649EB">
        <w:br/>
      </w:r>
      <w:r w:rsidRPr="00992B72">
        <w:rPr>
          <w:i/>
          <w:noProof/>
        </w:rPr>
        <w:t>The Impact of IFRS Adoption on Financial Statement Comparability: AUS evidence</w:t>
      </w:r>
    </w:p>
    <w:p w:rsidR="00643B46" w:rsidRPr="00643B46" w:rsidRDefault="00643B46" w:rsidP="00643B46">
      <w:pPr>
        <w:rPr>
          <w:sz w:val="20"/>
          <w:szCs w:val="20"/>
        </w:rPr>
      </w:pPr>
      <w:r w:rsidRPr="00643B46">
        <w:rPr>
          <w:noProof/>
          <w:sz w:val="20"/>
          <w:szCs w:val="20"/>
        </w:rPr>
        <w:t>Comparability is one of the key determinants of the quality of financial statements, which influence the stakeholders’ decision-making process. It is impacted by the adoption of different accounting standards. However, the influence of Australia’s adoption of principle-based accounting standards, International Financial Reporting Standards (IFRS), on financial report comparability is unclear. The lack of guidance on principle-based accounting standards may cause greater variance in accounting treatments and thus lower comparability. On the other hand, the fact that IFRS has been adopted by approximately 90 countries around the world indicates the possibility of cross-country comparability. This paper analyses the comparability of Australian companies’ financial statements before and after the adoption of IFRS on the entity level, domestic industry level and international industry level using the comparability measures as outlined by De Franco</w:t>
      </w:r>
      <w:r w:rsidRPr="00643B46">
        <w:rPr>
          <w:i/>
          <w:noProof/>
          <w:sz w:val="20"/>
          <w:szCs w:val="20"/>
        </w:rPr>
        <w:t xml:space="preserve"> et al.</w:t>
      </w:r>
      <w:r w:rsidRPr="00643B46">
        <w:rPr>
          <w:noProof/>
          <w:sz w:val="20"/>
          <w:szCs w:val="20"/>
        </w:rPr>
        <w:t xml:space="preserve"> (2011). The results suggest an improvement of the overall financial statement comparability after the adoption of IFRS.</w:t>
      </w:r>
    </w:p>
    <w:p w:rsidR="00AF0DF1" w:rsidRDefault="00AF0DF1" w:rsidP="00AF0DF1">
      <w:pPr>
        <w:rPr>
          <w:sz w:val="20"/>
        </w:rPr>
      </w:pPr>
    </w:p>
    <w:p w:rsidR="00643B46" w:rsidRPr="00643B46" w:rsidRDefault="00643B46" w:rsidP="00643B46">
      <w:r w:rsidRPr="00992B72">
        <w:rPr>
          <w:b/>
          <w:noProof/>
        </w:rPr>
        <w:t>Ine</w:t>
      </w:r>
      <w:r w:rsidRPr="00992B72">
        <w:rPr>
          <w:b/>
        </w:rPr>
        <w:t xml:space="preserve"> </w:t>
      </w:r>
      <w:r w:rsidRPr="00992B72">
        <w:rPr>
          <w:b/>
          <w:noProof/>
        </w:rPr>
        <w:t>Rahmadania Saldianovitta</w:t>
      </w:r>
      <w:r w:rsidRPr="00992B72">
        <w:t xml:space="preserve"> (</w:t>
      </w:r>
      <w:r w:rsidRPr="00992B72">
        <w:rPr>
          <w:noProof/>
        </w:rPr>
        <w:t>University of Brawijaya</w:t>
      </w:r>
      <w:r w:rsidRPr="00992B72">
        <w:t xml:space="preserve">, </w:t>
      </w:r>
      <w:r w:rsidRPr="00992B72">
        <w:rPr>
          <w:noProof/>
        </w:rPr>
        <w:t>Indonesia</w:t>
      </w:r>
      <w:r w:rsidR="000649EB">
        <w:t>)</w:t>
      </w:r>
      <w:r w:rsidR="000649EB">
        <w:br/>
      </w:r>
      <w:r w:rsidRPr="00992B72">
        <w:rPr>
          <w:i/>
          <w:noProof/>
        </w:rPr>
        <w:t xml:space="preserve">Analysis of Bank Soundness Level by Using RGEC Method (Risk Profile, Good Corporate Governance, </w:t>
      </w:r>
      <w:r w:rsidR="000649EB">
        <w:rPr>
          <w:i/>
          <w:noProof/>
        </w:rPr>
        <w:br/>
      </w:r>
      <w:r w:rsidR="000649EB">
        <w:rPr>
          <w:i/>
          <w:noProof/>
        </w:rPr>
        <w:br/>
      </w:r>
      <w:r w:rsidRPr="00992B72">
        <w:rPr>
          <w:i/>
          <w:noProof/>
        </w:rPr>
        <w:t>Earning and Capital) in Three State-Owned Banks in Indonesia: Study in PT. Bank Rakyat Indonesia Tbk, PT. Mandiri (Persero ) Tbk and PT. Bank Negara Indonesia</w:t>
      </w:r>
      <w:r>
        <w:br/>
      </w:r>
      <w:r w:rsidRPr="00643B46">
        <w:rPr>
          <w:noProof/>
          <w:sz w:val="20"/>
          <w:szCs w:val="20"/>
        </w:rPr>
        <w:t>This study aims to analyse the bank soundness level of three of the most popular commercial state-owned banks in Indonesia, namely PT Bank Rakyat Indonesia Tbk, PT Bank Mandiri (Persero) Tbk and PT Bank Negara Indonesia (Persero) Tbk using the RGEC Method (Risk Profile, Good Corporate Governance, Earnings and Capital). The bank soundness level was measured through some financial ratios such as NPL, IRR, LDR, LAR, ROA, ROE, NIM, OEF and factors of Good Corporate Governance (GCG) on the RGEC Method. Quantitative descriptive research is used, and the data was collected from the 2011–2015 annual reports of each bank. The data was analysed using MANOVA, ANOVA and Kruskall-Wallis methods in SPSS software. The findings show that there is a significant difference on the Risk profile factors among BRI, Mandiri and BNI. Significant differences were seen within Earnings well. However, the capital factor and the GCG factors of those three banks do not indicate any significant difference.</w:t>
      </w:r>
    </w:p>
    <w:p w:rsidR="00643B46" w:rsidRDefault="00643B46" w:rsidP="00AF0DF1">
      <w:pPr>
        <w:rPr>
          <w:sz w:val="20"/>
        </w:rPr>
      </w:pPr>
    </w:p>
    <w:p w:rsidR="00643B46" w:rsidRPr="00643B46" w:rsidRDefault="00643B46" w:rsidP="00643B46">
      <w:r w:rsidRPr="00992B72">
        <w:rPr>
          <w:b/>
          <w:noProof/>
        </w:rPr>
        <w:t>Fahmy</w:t>
      </w:r>
      <w:r w:rsidRPr="00992B72">
        <w:rPr>
          <w:b/>
        </w:rPr>
        <w:t xml:space="preserve"> </w:t>
      </w:r>
      <w:r w:rsidRPr="00992B72">
        <w:rPr>
          <w:b/>
          <w:noProof/>
        </w:rPr>
        <w:t>Gymnastiar</w:t>
      </w:r>
      <w:r w:rsidRPr="00992B72">
        <w:t xml:space="preserve"> (</w:t>
      </w:r>
      <w:r w:rsidRPr="00992B72">
        <w:rPr>
          <w:noProof/>
        </w:rPr>
        <w:t>University of Brawijaya</w:t>
      </w:r>
      <w:r w:rsidRPr="00992B72">
        <w:t xml:space="preserve">, </w:t>
      </w:r>
      <w:r w:rsidRPr="00992B72">
        <w:rPr>
          <w:noProof/>
        </w:rPr>
        <w:t>Indonesia</w:t>
      </w:r>
      <w:r w:rsidR="000649EB">
        <w:t>)</w:t>
      </w:r>
      <w:r w:rsidR="000649EB">
        <w:br/>
      </w:r>
      <w:r w:rsidRPr="00992B72">
        <w:rPr>
          <w:i/>
          <w:noProof/>
        </w:rPr>
        <w:t>The Impact of EPS And Federal Funds Rate Towards the Lq45 and Russell Top 50 Market Index</w:t>
      </w:r>
      <w:r>
        <w:br/>
      </w:r>
      <w:r w:rsidR="000649EB">
        <w:rPr>
          <w:noProof/>
          <w:sz w:val="20"/>
          <w:szCs w:val="20"/>
        </w:rPr>
        <w:br/>
      </w:r>
      <w:r w:rsidRPr="00643B46">
        <w:rPr>
          <w:noProof/>
          <w:sz w:val="20"/>
          <w:szCs w:val="20"/>
        </w:rPr>
        <w:t>This study aims to investigate the impact of microeconomics factors represented by EPS and macroeconomic factors represented by federal funds rate, inflation rate, unemployment rate and real GDP rate towards LQ45 and Russell Top 50 market indexes. In this research, the secondary data was retrieved from the official website of Indonesia Stock Exchange, Nasdaq official website, and Organisation for Economic Co-operation and Development (OECD) database. The data was analysed with a multiple regression model using the SPSS platform.</w:t>
      </w:r>
    </w:p>
    <w:p w:rsidR="00643B46" w:rsidRPr="00643B46" w:rsidRDefault="00643B46" w:rsidP="00643B46">
      <w:pPr>
        <w:rPr>
          <w:sz w:val="20"/>
          <w:szCs w:val="20"/>
        </w:rPr>
      </w:pPr>
      <w:r w:rsidRPr="00643B46">
        <w:rPr>
          <w:noProof/>
          <w:sz w:val="20"/>
          <w:szCs w:val="20"/>
        </w:rPr>
        <w:t xml:space="preserve">The findings show that EPS, federal funds target rates, previous federal funds target rates and inflation rates do not have a significant effect on both the LQ45 and Russell Top 50 market indexes. On the other hand, unemployment rate has a negative effect on the Russell Top 50 index. In contrast, unemployment rate does not have significant impact on the LQ45 index. Furthermore, the real GDP rate has a significant effect LQ45 on </w:t>
      </w:r>
      <w:r w:rsidRPr="00643B46">
        <w:rPr>
          <w:noProof/>
          <w:sz w:val="20"/>
          <w:szCs w:val="20"/>
        </w:rPr>
        <w:lastRenderedPageBreak/>
        <w:t>market index. However, there is no significant influence on the Russell Top 50 index. The negative correlation means that the decrease of unemployment rate and real GDP rate will increase the stock price.</w:t>
      </w:r>
    </w:p>
    <w:p w:rsidR="00CD696E" w:rsidRDefault="00CD696E" w:rsidP="00DD7B70">
      <w:pPr>
        <w:rPr>
          <w:b/>
        </w:rPr>
      </w:pPr>
    </w:p>
    <w:p w:rsidR="00CD696E" w:rsidRDefault="00CD696E" w:rsidP="00CD696E">
      <w:pPr>
        <w:pStyle w:val="Heading1"/>
        <w:jc w:val="center"/>
      </w:pPr>
      <w:bookmarkStart w:id="74" w:name="_Toc501711960"/>
      <w:r>
        <w:t>SESSION 16</w:t>
      </w:r>
      <w:bookmarkEnd w:id="74"/>
    </w:p>
    <w:p w:rsidR="003E5931" w:rsidRPr="008F0D2E" w:rsidRDefault="003E5931" w:rsidP="00CD696E">
      <w:pPr>
        <w:pStyle w:val="Heading2"/>
      </w:pPr>
      <w:bookmarkStart w:id="75" w:name="_Toc501711961"/>
      <w:r w:rsidRPr="008F0D2E">
        <w:t xml:space="preserve">Session 16A (Monash </w:t>
      </w:r>
      <w:r w:rsidR="00B0654E">
        <w:t xml:space="preserve">University, </w:t>
      </w:r>
      <w:r w:rsidRPr="008F0D2E">
        <w:t>Australia, Warwick</w:t>
      </w:r>
      <w:r w:rsidR="00B0654E">
        <w:t xml:space="preserve"> University, UK</w:t>
      </w:r>
      <w:r w:rsidRPr="008F0D2E">
        <w:t xml:space="preserve"> &amp; N</w:t>
      </w:r>
      <w:r w:rsidR="00B0654E">
        <w:t xml:space="preserve">anyang </w:t>
      </w:r>
      <w:r w:rsidRPr="008F0D2E">
        <w:t>T</w:t>
      </w:r>
      <w:r w:rsidR="00B0654E">
        <w:t xml:space="preserve">echnological </w:t>
      </w:r>
      <w:r w:rsidRPr="008F0D2E">
        <w:t>U</w:t>
      </w:r>
      <w:r w:rsidR="00B0654E">
        <w:t>niversity, Singapore</w:t>
      </w:r>
      <w:r w:rsidRPr="008F0D2E">
        <w:t>)</w:t>
      </w:r>
      <w:bookmarkEnd w:id="75"/>
      <w:r w:rsidRPr="008F0D2E">
        <w:t xml:space="preserve"> </w:t>
      </w:r>
    </w:p>
    <w:p w:rsidR="006564AB" w:rsidRPr="008F0D2E" w:rsidRDefault="00D00F62" w:rsidP="00DD7B70">
      <w:pPr>
        <w:rPr>
          <w:i/>
        </w:rPr>
      </w:pPr>
      <w:r w:rsidRPr="00D00F62">
        <w:t>Theme:</w:t>
      </w:r>
      <w:r>
        <w:rPr>
          <w:i/>
        </w:rPr>
        <w:t xml:space="preserve"> </w:t>
      </w:r>
      <w:r w:rsidR="002159F6" w:rsidRPr="002159F6">
        <w:rPr>
          <w:i/>
        </w:rPr>
        <w:t>Law and Governance Around the World</w:t>
      </w:r>
    </w:p>
    <w:p w:rsidR="00CD696E" w:rsidRDefault="00CD696E" w:rsidP="00DD7B70">
      <w:pPr>
        <w:rPr>
          <w:b/>
        </w:rPr>
      </w:pPr>
    </w:p>
    <w:p w:rsidR="002159F6" w:rsidRPr="002159F6" w:rsidRDefault="002159F6" w:rsidP="002159F6">
      <w:r w:rsidRPr="00992B72">
        <w:rPr>
          <w:b/>
          <w:noProof/>
        </w:rPr>
        <w:t>Fatima</w:t>
      </w:r>
      <w:r w:rsidRPr="00992B72">
        <w:rPr>
          <w:b/>
        </w:rPr>
        <w:t xml:space="preserve"> </w:t>
      </w:r>
      <w:r w:rsidRPr="00992B72">
        <w:rPr>
          <w:b/>
          <w:noProof/>
        </w:rPr>
        <w:t>Almarwani</w:t>
      </w:r>
      <w:r w:rsidRPr="00992B72">
        <w:t xml:space="preserve"> (</w:t>
      </w:r>
      <w:r w:rsidRPr="00992B72">
        <w:rPr>
          <w:noProof/>
        </w:rPr>
        <w:t>University of Warwick</w:t>
      </w:r>
      <w:r w:rsidRPr="00992B72">
        <w:t xml:space="preserve">, </w:t>
      </w:r>
      <w:r w:rsidRPr="00992B72">
        <w:rPr>
          <w:noProof/>
        </w:rPr>
        <w:t>UK</w:t>
      </w:r>
      <w:r w:rsidR="000649EB">
        <w:t>)</w:t>
      </w:r>
      <w:r w:rsidR="000649EB">
        <w:br/>
      </w:r>
      <w:r w:rsidRPr="00992B72">
        <w:rPr>
          <w:i/>
          <w:noProof/>
        </w:rPr>
        <w:t>Pulling Back the Veil of Secrecy: Measures to increase government transparency in the Kingdom of Saudi Arabia</w:t>
      </w:r>
      <w:r>
        <w:br/>
      </w:r>
      <w:r w:rsidR="000649EB">
        <w:rPr>
          <w:noProof/>
          <w:sz w:val="20"/>
          <w:szCs w:val="20"/>
        </w:rPr>
        <w:br/>
      </w:r>
      <w:r w:rsidRPr="002159F6">
        <w:rPr>
          <w:noProof/>
          <w:sz w:val="20"/>
          <w:szCs w:val="20"/>
        </w:rPr>
        <w:t>In the context of economic reform and social unrest, the government of Saudi Arabia must undergo systemic legislative transformation to accommodate the evolution from a rentier economy to a productive one. Of the new policies affecting corporations and citizens alike, few are more significant on a grassroots level than the debut of taxation systems.</w:t>
      </w:r>
    </w:p>
    <w:p w:rsidR="002159F6" w:rsidRPr="002159F6" w:rsidRDefault="002159F6" w:rsidP="002159F6">
      <w:pPr>
        <w:rPr>
          <w:noProof/>
          <w:sz w:val="20"/>
          <w:szCs w:val="20"/>
        </w:rPr>
      </w:pPr>
      <w:r w:rsidRPr="002159F6">
        <w:rPr>
          <w:noProof/>
          <w:sz w:val="20"/>
          <w:szCs w:val="20"/>
        </w:rPr>
        <w:t>Notorious for its opaque oligarchy, Saudi’s current levels of state secrecy does little more than breed contempt and distrust between the government and the people; the pervasiveness of this sentiment is made obvious through an online survey conducted in line with this research project on a sample of Saudi citizens in 2017. There are very few studies focusing on government transparency in Saudi; most tend to focus on transparency in the private sector, which is more relevant to regulation policy than transparency policy.</w:t>
      </w:r>
    </w:p>
    <w:p w:rsidR="002159F6" w:rsidRPr="002159F6" w:rsidRDefault="002159F6" w:rsidP="002159F6">
      <w:pPr>
        <w:rPr>
          <w:noProof/>
          <w:sz w:val="20"/>
          <w:szCs w:val="20"/>
        </w:rPr>
      </w:pPr>
      <w:r w:rsidRPr="002159F6">
        <w:rPr>
          <w:noProof/>
          <w:sz w:val="20"/>
          <w:szCs w:val="20"/>
        </w:rPr>
        <w:t>This project explores and critiques different methods of governmental transparency, such as the publication of a national census, digitisation, educational media campaigns and ergonomic public procedure. It particularly looks into various delivery methods of information to a public unfamiliar with the nature of political and economic dialogue, and compares different policy plans implemented by governments around the world and assesses their compatibility with the Saudi community.</w:t>
      </w:r>
    </w:p>
    <w:p w:rsidR="002159F6" w:rsidRPr="002159F6" w:rsidRDefault="002159F6" w:rsidP="002159F6">
      <w:pPr>
        <w:rPr>
          <w:noProof/>
          <w:sz w:val="20"/>
          <w:szCs w:val="20"/>
        </w:rPr>
      </w:pPr>
      <w:r w:rsidRPr="002159F6">
        <w:rPr>
          <w:noProof/>
          <w:sz w:val="20"/>
          <w:szCs w:val="20"/>
        </w:rPr>
        <w:t>The research is theoretically based on various theses on open government, particularly theories that focus on the role of media and technology such as the work of Beth Simone Noveck and Paul Henman, both of whom focus on the integration of technology in governance and how that affects public perception.</w:t>
      </w:r>
    </w:p>
    <w:p w:rsidR="002159F6" w:rsidRPr="002159F6" w:rsidRDefault="002159F6" w:rsidP="002159F6">
      <w:pPr>
        <w:rPr>
          <w:sz w:val="20"/>
          <w:szCs w:val="20"/>
        </w:rPr>
      </w:pPr>
      <w:r w:rsidRPr="002159F6">
        <w:rPr>
          <w:noProof/>
          <w:sz w:val="20"/>
          <w:szCs w:val="20"/>
        </w:rPr>
        <w:t>This study has critical implications on the process through which ‘Vision 2030’ – the legislative document introduced in 2016 outlining a set of economic, social, and political goals the Saudi government wants to achieve by 2030 (including but not limited to taxation policy) – is planned and executed, and will shape the now symbiotic relationship between the Saudi government and its people.</w:t>
      </w:r>
    </w:p>
    <w:p w:rsidR="0057222B" w:rsidRDefault="0057222B" w:rsidP="00DD7B70"/>
    <w:p w:rsidR="002159F6" w:rsidRPr="002159F6" w:rsidRDefault="002159F6" w:rsidP="002159F6">
      <w:r w:rsidRPr="00992B72">
        <w:rPr>
          <w:b/>
          <w:noProof/>
        </w:rPr>
        <w:t>Michael</w:t>
      </w:r>
      <w:r w:rsidRPr="00992B72">
        <w:rPr>
          <w:b/>
        </w:rPr>
        <w:t xml:space="preserve"> </w:t>
      </w:r>
      <w:r w:rsidRPr="00992B72">
        <w:rPr>
          <w:b/>
          <w:noProof/>
        </w:rPr>
        <w:t>Man</w:t>
      </w:r>
      <w:r w:rsidRPr="00992B72">
        <w:t xml:space="preserve"> (</w:t>
      </w:r>
      <w:r w:rsidRPr="00992B72">
        <w:rPr>
          <w:noProof/>
        </w:rPr>
        <w:t>University of Warwick</w:t>
      </w:r>
      <w:r w:rsidRPr="00992B72">
        <w:t xml:space="preserve">, </w:t>
      </w:r>
      <w:r w:rsidRPr="00992B72">
        <w:rPr>
          <w:noProof/>
        </w:rPr>
        <w:t>UK</w:t>
      </w:r>
      <w:r w:rsidRPr="00992B72">
        <w:t>)</w:t>
      </w:r>
      <w:r w:rsidR="000649EB">
        <w:br/>
      </w:r>
      <w:r w:rsidRPr="00992B72">
        <w:rPr>
          <w:i/>
          <w:noProof/>
        </w:rPr>
        <w:t>Currency and Power: The Hong Kong dollar and British colonial rule</w:t>
      </w:r>
      <w:r w:rsidR="00373FA0">
        <w:rPr>
          <w:i/>
          <w:noProof/>
        </w:rPr>
        <w:br/>
      </w:r>
      <w:r w:rsidR="000649EB">
        <w:rPr>
          <w:noProof/>
          <w:sz w:val="20"/>
          <w:szCs w:val="20"/>
        </w:rPr>
        <w:br/>
      </w:r>
      <w:r w:rsidRPr="002159F6">
        <w:rPr>
          <w:noProof/>
          <w:sz w:val="20"/>
          <w:szCs w:val="20"/>
        </w:rPr>
        <w:t>Banknotes and coins are staples of economic transactions. Equally, currency creates the concept of a community as they carry symbols and text which project power.</w:t>
      </w:r>
    </w:p>
    <w:p w:rsidR="002159F6" w:rsidRPr="002159F6" w:rsidRDefault="002159F6" w:rsidP="002159F6">
      <w:pPr>
        <w:rPr>
          <w:noProof/>
          <w:sz w:val="20"/>
          <w:szCs w:val="20"/>
        </w:rPr>
      </w:pPr>
      <w:r w:rsidRPr="002159F6">
        <w:rPr>
          <w:noProof/>
          <w:sz w:val="20"/>
          <w:szCs w:val="20"/>
        </w:rPr>
        <w:t xml:space="preserve">Hong Kong provides a unique study of how currency creates power that constructs society. As a British colony in China from 1841 to 1997, the Hong Kong dollar (HKD) was charged with projecting British authority, which created a colonial society. Although currency is not the only way to create society, its significance cannot be underestimated. Currency’s ubiquity in modern society influences society’s everyday thinking. Hence, currency </w:t>
      </w:r>
      <w:r w:rsidRPr="002159F6">
        <w:rPr>
          <w:noProof/>
          <w:sz w:val="20"/>
          <w:szCs w:val="20"/>
        </w:rPr>
        <w:lastRenderedPageBreak/>
        <w:t>is a useful tool to analyse the methods that constructed a British colonial society. Hong Kong history is mainly elitist. Few have studied Hong Kong through a micro-historical approach and fewer have used post-colonial or post-structural theories. This provides a refreshing take on Hong Kong history, which forms part of British Imperial history. Academics in this field tend to focus on India and Malaya, but Hong Kong is just as important as it provides a glimpse of what British Imperialism became by the end of the twentieth century. Using post-colonial, post-structural theories to analyse how the HKD projects power gives a new and complete understanding of British Imperialism.</w:t>
      </w:r>
    </w:p>
    <w:p w:rsidR="002159F6" w:rsidRPr="002159F6" w:rsidRDefault="002159F6" w:rsidP="002159F6">
      <w:pPr>
        <w:rPr>
          <w:sz w:val="20"/>
          <w:szCs w:val="20"/>
        </w:rPr>
      </w:pPr>
      <w:r w:rsidRPr="002159F6">
        <w:rPr>
          <w:noProof/>
          <w:sz w:val="20"/>
          <w:szCs w:val="20"/>
        </w:rPr>
        <w:t>The findings of these investigations are not limited to Hong Kong. Nations today, particularly in the Middle East, struggle to assert authority; currency’s capacity to convey government power needs to be recognised. The ubiquitous nature of economic transactions means currency is the ideal vehicle to project authority to the people.</w:t>
      </w:r>
    </w:p>
    <w:p w:rsidR="002159F6" w:rsidRDefault="002159F6" w:rsidP="00DD7B70"/>
    <w:p w:rsidR="002159F6" w:rsidRPr="00373FA0" w:rsidRDefault="002159F6" w:rsidP="002159F6">
      <w:r w:rsidRPr="00992B72">
        <w:rPr>
          <w:b/>
          <w:noProof/>
        </w:rPr>
        <w:t>S Shalini D/O</w:t>
      </w:r>
      <w:r w:rsidRPr="00992B72">
        <w:rPr>
          <w:b/>
        </w:rPr>
        <w:t xml:space="preserve"> </w:t>
      </w:r>
      <w:r w:rsidRPr="00992B72">
        <w:rPr>
          <w:b/>
          <w:noProof/>
        </w:rPr>
        <w:t>Sivakrishnan</w:t>
      </w:r>
      <w:r w:rsidRPr="00992B72">
        <w:t xml:space="preserve"> (</w:t>
      </w:r>
      <w:r w:rsidRPr="00992B72">
        <w:rPr>
          <w:noProof/>
        </w:rPr>
        <w:t>Nanyang Technological University (NTU)</w:t>
      </w:r>
      <w:r w:rsidRPr="00992B72">
        <w:t xml:space="preserve">, </w:t>
      </w:r>
      <w:r w:rsidRPr="00992B72">
        <w:rPr>
          <w:noProof/>
        </w:rPr>
        <w:t>Singapore</w:t>
      </w:r>
      <w:r w:rsidR="00373FA0">
        <w:t>)</w:t>
      </w:r>
      <w:r w:rsidR="00373FA0">
        <w:br/>
      </w:r>
      <w:r w:rsidRPr="00BF4AE1">
        <w:rPr>
          <w:i/>
          <w:noProof/>
          <w:sz w:val="20"/>
          <w:szCs w:val="20"/>
        </w:rPr>
        <w:t>Legal and Social (Re)integration or Resettlement of Rohingyas in Asia</w:t>
      </w:r>
      <w:r w:rsidRPr="00BF4AE1">
        <w:rPr>
          <w:sz w:val="20"/>
          <w:szCs w:val="20"/>
        </w:rPr>
        <w:br/>
      </w:r>
      <w:r w:rsidR="00373FA0">
        <w:rPr>
          <w:noProof/>
          <w:sz w:val="20"/>
          <w:szCs w:val="20"/>
        </w:rPr>
        <w:br/>
      </w:r>
      <w:r w:rsidRPr="00BF4AE1">
        <w:rPr>
          <w:noProof/>
          <w:sz w:val="20"/>
          <w:szCs w:val="20"/>
        </w:rPr>
        <w:t>In 2015, the Rohingya Boat People, an ethnic Muslim minority from Myanmar, were stranded in the Andaman sea, and the event brought international attention to the Rohingya humanitarian migration crisis that has been taking place in South Asia and Southeast Asia. Rohingyas have been labelled by the United Nations as the world’s most persecuted people. The systematic political persecution of Rohingyas began in 1948 when the Union of Burma was established, and the forced migration of Rohingyas into neighbouring countries has been happening since the 1970s. Rohingyas have been persecuted because of their ethnicity, indigeneity and religion through acts of violence, labour exploitation and mass murders in Myanmar, as well as in the countries that they have sought refuge. This paper looks into the specific aspect of political persecution under the legal framework of state-actors, as this presents to be the root cause of most problems that Rohingyas counter, but also presents to be the solution for ending the persecution of Rohingyas. This paper focuses on the legal documentation of Rohingyas in Myanmar, Bangladesh, Thailand and Malaysia, as most Rohingyas reside in these countries. The methodology of the paper involves the review of the States’ legal frameworks for documenting asylum seekers; analysis of the Rohingya case with the case studies of Tamils in Sri Lanka and Jews in Nazi Germany; and finally, recommendations for most durable solutions for each state-actor: (Re)Integration or Resettlement of Rohingyas. This paper also includes interviews conducted with members of non-governmental organisations that have performed field work with Rohingyas.</w:t>
      </w:r>
    </w:p>
    <w:p w:rsidR="002159F6" w:rsidRDefault="002159F6" w:rsidP="00DD7B70"/>
    <w:p w:rsidR="002159F6" w:rsidRPr="002159F6" w:rsidRDefault="002159F6" w:rsidP="002159F6">
      <w:r w:rsidRPr="00992B72">
        <w:rPr>
          <w:b/>
          <w:noProof/>
        </w:rPr>
        <w:t>Amanda</w:t>
      </w:r>
      <w:r w:rsidRPr="00992B72">
        <w:rPr>
          <w:b/>
        </w:rPr>
        <w:t xml:space="preserve"> </w:t>
      </w:r>
      <w:r w:rsidRPr="00992B72">
        <w:rPr>
          <w:b/>
          <w:noProof/>
        </w:rPr>
        <w:t>Selvarajah</w:t>
      </w:r>
      <w:r w:rsidRPr="00992B72">
        <w:t xml:space="preserve"> (</w:t>
      </w:r>
      <w:r w:rsidRPr="00992B72">
        <w:rPr>
          <w:noProof/>
        </w:rPr>
        <w:t>Monash University</w:t>
      </w:r>
      <w:r w:rsidRPr="00992B72">
        <w:t xml:space="preserve">, </w:t>
      </w:r>
      <w:r w:rsidRPr="00992B72">
        <w:rPr>
          <w:noProof/>
        </w:rPr>
        <w:t>Australia</w:t>
      </w:r>
      <w:r w:rsidR="00373FA0">
        <w:t>)</w:t>
      </w:r>
      <w:r w:rsidR="00373FA0">
        <w:br/>
      </w:r>
      <w:r w:rsidRPr="00992B72">
        <w:rPr>
          <w:i/>
          <w:noProof/>
        </w:rPr>
        <w:t>Individualised Prosecution in International Criminal Justice: The symbol vs. the substance</w:t>
      </w:r>
      <w:r>
        <w:br/>
      </w:r>
      <w:r w:rsidR="00373FA0">
        <w:rPr>
          <w:noProof/>
          <w:sz w:val="20"/>
          <w:szCs w:val="20"/>
        </w:rPr>
        <w:br/>
      </w:r>
      <w:r w:rsidRPr="002159F6">
        <w:rPr>
          <w:noProof/>
          <w:sz w:val="20"/>
          <w:szCs w:val="20"/>
        </w:rPr>
        <w:t>One of international criminal justice’s oldest and most prominent mechanisms has been the individualised prosecution of the perpetrators of history’s greatest tragedies. However, when measured against objectives of international criminal justice, individualised prosecution begins to not only fail to accommodate these objectives but sometimes outright contradicts them.</w:t>
      </w:r>
    </w:p>
    <w:p w:rsidR="002159F6" w:rsidRPr="002159F6" w:rsidRDefault="002159F6" w:rsidP="002159F6">
      <w:pPr>
        <w:rPr>
          <w:noProof/>
          <w:sz w:val="20"/>
          <w:szCs w:val="20"/>
        </w:rPr>
      </w:pPr>
      <w:r w:rsidRPr="002159F6">
        <w:rPr>
          <w:noProof/>
          <w:sz w:val="20"/>
          <w:szCs w:val="20"/>
        </w:rPr>
        <w:t xml:space="preserve">Christoph Safferling’s </w:t>
      </w:r>
      <w:r w:rsidRPr="002159F6">
        <w:rPr>
          <w:i/>
          <w:noProof/>
          <w:sz w:val="20"/>
          <w:szCs w:val="20"/>
        </w:rPr>
        <w:t>International Criminal Procedure</w:t>
      </w:r>
      <w:r w:rsidRPr="002159F6">
        <w:rPr>
          <w:noProof/>
          <w:sz w:val="20"/>
          <w:szCs w:val="20"/>
        </w:rPr>
        <w:t xml:space="preserve"> identifies objectives of international criminal justice to include ‘justice for the victims’, ‘deterrence’ and ‘accountability’. My research aims to examine the effect of individualised prosecution on these objectives by applying real-life examples and the accounts of international criminal justice experts.</w:t>
      </w:r>
    </w:p>
    <w:p w:rsidR="002159F6" w:rsidRPr="002159F6" w:rsidRDefault="002159F6" w:rsidP="002159F6">
      <w:pPr>
        <w:rPr>
          <w:noProof/>
          <w:sz w:val="20"/>
          <w:szCs w:val="20"/>
        </w:rPr>
      </w:pPr>
      <w:r w:rsidRPr="002159F6">
        <w:rPr>
          <w:noProof/>
          <w:sz w:val="20"/>
          <w:szCs w:val="20"/>
        </w:rPr>
        <w:t xml:space="preserve">I argue that the prosecutorial process can prevent holistic and accurate portrayals of victims’ experiences – an incredibly important part of many victims’ paths to reconciliation and closure. Furthermore, the objectives of ‘deterrence’ and ‘accountability’ are similarly strained through individual prosecution as they fail to address the root causes of a conflict, which are often rooted in economic, religious or racial dynamics that have existed for years. Moreover, the international community’s reputation of bias against Africa has actually made the </w:t>
      </w:r>
      <w:r w:rsidRPr="002159F6">
        <w:rPr>
          <w:noProof/>
          <w:sz w:val="20"/>
          <w:szCs w:val="20"/>
        </w:rPr>
        <w:lastRenderedPageBreak/>
        <w:t>defiance of international law a politically advantageous move for some leaders. Lastly, the threat of prosecution can sometimes prolong a leader’s stay in power to enjoy the immunity their position affords and therefore prolong their people’s suffering under their reign.</w:t>
      </w:r>
    </w:p>
    <w:p w:rsidR="002159F6" w:rsidRPr="002159F6" w:rsidRDefault="002159F6" w:rsidP="002159F6">
      <w:pPr>
        <w:rPr>
          <w:sz w:val="20"/>
          <w:szCs w:val="20"/>
        </w:rPr>
      </w:pPr>
      <w:r w:rsidRPr="002159F6">
        <w:rPr>
          <w:noProof/>
          <w:sz w:val="20"/>
          <w:szCs w:val="20"/>
        </w:rPr>
        <w:t>I believe by highlighting the pitfalls of individualised prosecution, a shift could begin from framing our sentencing procedures through a lens of retribution or revenge towards one that prioritises victims’ healing and societal improvement instead.</w:t>
      </w:r>
    </w:p>
    <w:p w:rsidR="00CD696E" w:rsidRPr="008F0D2E" w:rsidRDefault="00CD696E" w:rsidP="00DD7B70"/>
    <w:p w:rsidR="003E5931" w:rsidRPr="008F0D2E" w:rsidRDefault="003E5931" w:rsidP="00CD696E">
      <w:pPr>
        <w:pStyle w:val="Heading2"/>
      </w:pPr>
      <w:bookmarkStart w:id="76" w:name="_Toc501711962"/>
      <w:r w:rsidRPr="008F0D2E">
        <w:t>Session 16B (Monash</w:t>
      </w:r>
      <w:r w:rsidR="005F3E3A">
        <w:t xml:space="preserve"> University,</w:t>
      </w:r>
      <w:r w:rsidRPr="008F0D2E">
        <w:t xml:space="preserve"> Australia &amp;</w:t>
      </w:r>
      <w:r w:rsidR="002159F6">
        <w:t xml:space="preserve"> University of </w:t>
      </w:r>
      <w:r w:rsidR="002159F6" w:rsidRPr="008F0D2E">
        <w:t>Leeds</w:t>
      </w:r>
      <w:r w:rsidR="002159F6">
        <w:t>, UK</w:t>
      </w:r>
      <w:r w:rsidRPr="008F0D2E">
        <w:t>)</w:t>
      </w:r>
      <w:bookmarkEnd w:id="76"/>
      <w:r w:rsidRPr="008F0D2E">
        <w:t xml:space="preserve"> </w:t>
      </w:r>
    </w:p>
    <w:p w:rsidR="003E5931" w:rsidRDefault="00D00F62" w:rsidP="00DD7B70">
      <w:pPr>
        <w:rPr>
          <w:rStyle w:val="SubtleEmphasis"/>
        </w:rPr>
      </w:pPr>
      <w:r w:rsidRPr="00CD696E">
        <w:rPr>
          <w:rStyle w:val="SubtleEmphasis"/>
        </w:rPr>
        <w:t xml:space="preserve">Theme: </w:t>
      </w:r>
      <w:r w:rsidR="002159F6" w:rsidRPr="002159F6">
        <w:rPr>
          <w:rStyle w:val="SubtleEmphasis"/>
        </w:rPr>
        <w:t>Improving Population Health &amp; Wellbeing</w:t>
      </w:r>
    </w:p>
    <w:p w:rsidR="002159F6" w:rsidRPr="00F856E6" w:rsidRDefault="002159F6" w:rsidP="002159F6">
      <w:r w:rsidRPr="00992B72">
        <w:rPr>
          <w:b/>
          <w:noProof/>
        </w:rPr>
        <w:t>Aleona</w:t>
      </w:r>
      <w:r w:rsidRPr="00992B72">
        <w:rPr>
          <w:b/>
        </w:rPr>
        <w:t xml:space="preserve"> </w:t>
      </w:r>
      <w:r w:rsidRPr="00992B72">
        <w:rPr>
          <w:b/>
          <w:noProof/>
        </w:rPr>
        <w:t>Invelito</w:t>
      </w:r>
      <w:r>
        <w:rPr>
          <w:b/>
          <w:noProof/>
        </w:rPr>
        <w:t>,</w:t>
      </w:r>
      <w:r w:rsidRPr="002159F6">
        <w:t xml:space="preserve"> </w:t>
      </w:r>
      <w:r w:rsidRPr="002159F6">
        <w:rPr>
          <w:b/>
          <w:noProof/>
        </w:rPr>
        <w:t xml:space="preserve">Natasha Seymour, </w:t>
      </w:r>
      <w:r>
        <w:rPr>
          <w:b/>
          <w:noProof/>
        </w:rPr>
        <w:t>Sobasha Perera</w:t>
      </w:r>
      <w:r w:rsidRPr="00992B72">
        <w:t xml:space="preserve"> (</w:t>
      </w:r>
      <w:r>
        <w:t xml:space="preserve">GLARP, </w:t>
      </w:r>
      <w:r w:rsidRPr="00992B72">
        <w:rPr>
          <w:noProof/>
        </w:rPr>
        <w:t>Monash University</w:t>
      </w:r>
      <w:r w:rsidRPr="00992B72">
        <w:t xml:space="preserve">, </w:t>
      </w:r>
      <w:r w:rsidRPr="00992B72">
        <w:rPr>
          <w:noProof/>
        </w:rPr>
        <w:t>Australia</w:t>
      </w:r>
      <w:r w:rsidR="00373FA0">
        <w:t>)</w:t>
      </w:r>
      <w:r w:rsidR="00373FA0">
        <w:br/>
      </w:r>
      <w:r w:rsidRPr="00992B72">
        <w:rPr>
          <w:i/>
          <w:noProof/>
        </w:rPr>
        <w:t>Is There a Link Between Social Media Use and Emotional Health in Pre-Teen Children?</w:t>
      </w:r>
      <w:r w:rsidR="00F856E6">
        <w:br/>
      </w:r>
      <w:r w:rsidR="00373FA0">
        <w:rPr>
          <w:noProof/>
          <w:sz w:val="20"/>
          <w:szCs w:val="20"/>
        </w:rPr>
        <w:br/>
      </w:r>
      <w:r w:rsidRPr="00F856E6">
        <w:rPr>
          <w:noProof/>
          <w:sz w:val="20"/>
          <w:szCs w:val="20"/>
        </w:rPr>
        <w:t>Childhood social media use is on the rise, with evidence showing children as young as eight using these digital platforms. While frequent social media use has been associated with adverse emotional outcomes in adults and adolescents, little is known about its impact on children. Children are particularly vulnerable to the development of mental health problems, which have been shown to affect lifelong mental health and socio-economic outcomes. Given the increasing incidence of social media use within Australia, and the long-term effects of poor childhood mental health, this is an important area for research.</w:t>
      </w:r>
    </w:p>
    <w:p w:rsidR="002159F6" w:rsidRPr="00F856E6" w:rsidRDefault="002159F6" w:rsidP="002159F6">
      <w:pPr>
        <w:rPr>
          <w:sz w:val="20"/>
          <w:szCs w:val="20"/>
        </w:rPr>
      </w:pPr>
      <w:r w:rsidRPr="00F856E6">
        <w:rPr>
          <w:noProof/>
          <w:sz w:val="20"/>
          <w:szCs w:val="20"/>
        </w:rPr>
        <w:t>To address this issue, we will conduct and present the findings of a preliminary literature review on this topic, which will lay the foundation for a follow-up research activity. The subsequent research activity will directly examine this issue in the Australian population.</w:t>
      </w:r>
    </w:p>
    <w:p w:rsidR="00F856E6" w:rsidRDefault="00F856E6" w:rsidP="00DD7B70">
      <w:pPr>
        <w:rPr>
          <w:rStyle w:val="SubtleEmphasis"/>
        </w:rPr>
      </w:pPr>
    </w:p>
    <w:p w:rsidR="00F856E6" w:rsidRPr="00F856E6" w:rsidRDefault="00F856E6" w:rsidP="00F856E6">
      <w:r w:rsidRPr="00992B72">
        <w:rPr>
          <w:b/>
          <w:noProof/>
        </w:rPr>
        <w:t>Jay</w:t>
      </w:r>
      <w:r w:rsidRPr="00992B72">
        <w:rPr>
          <w:b/>
        </w:rPr>
        <w:t xml:space="preserve"> </w:t>
      </w:r>
      <w:r w:rsidRPr="00992B72">
        <w:rPr>
          <w:b/>
          <w:noProof/>
        </w:rPr>
        <w:t>Gokhale</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Improving Commercial Success of the MyPAM Robot</w:t>
      </w:r>
      <w:r>
        <w:br/>
      </w:r>
      <w:r w:rsidR="00373FA0">
        <w:rPr>
          <w:noProof/>
          <w:sz w:val="20"/>
          <w:szCs w:val="20"/>
        </w:rPr>
        <w:br/>
      </w:r>
      <w:r w:rsidRPr="00F856E6">
        <w:rPr>
          <w:noProof/>
          <w:sz w:val="20"/>
          <w:szCs w:val="20"/>
        </w:rPr>
        <w:t>Nowadays patients who need rehabilitation must spend substantial time, energy and money travelling to a hospital for treatment. Our team at the University of Leeds aims to build an affordable haptic rehabilitation robot (called MyPAM) for victims of stroke and cerebral palsy that can provide affordable and effective treatment in the comfort of their home. MyPAM was originally built by students from the School of Mechanical Engineering, and helps patients through a simple video game controlled by a smart joystick, guiding and assisting their arm in a horizontal plane. The motorised assistance of the joystick provides valuable data to doctors and helps quantify a patient’s recovery process. To accomplish the task of commercialising MyPAM, we plan on taking several steps. The first is converting the system from the National Instruments sbRIo to MyRio platform. Secondly we plan on expanding the games library to make it a more enjoyable and interactive product. This is crucial because about 60% of stroke victims drop out of rehabilitation due to its boring and repetitive nature. If these steps are successful, we aim to make a much more enjoyable product as well as reduce the price from £10,000 to £4,000. Our new product will then be assessed during the National Health Service clinical trials, which require 20 working units complete with a bill of materials and safety tests. If our research and the NHS tests were to be successful, thousands of people will be able to participate in our advanced home-based rehabilitation program.</w:t>
      </w:r>
    </w:p>
    <w:p w:rsidR="00F856E6" w:rsidRPr="00F856E6" w:rsidRDefault="00F856E6" w:rsidP="00DD7B70">
      <w:pPr>
        <w:rPr>
          <w:rStyle w:val="SubtleEmphasis"/>
          <w:sz w:val="20"/>
          <w:szCs w:val="20"/>
        </w:rPr>
      </w:pPr>
    </w:p>
    <w:p w:rsidR="00F856E6" w:rsidRPr="00F856E6" w:rsidRDefault="00F856E6" w:rsidP="00F856E6">
      <w:r w:rsidRPr="00992B72">
        <w:rPr>
          <w:b/>
          <w:noProof/>
        </w:rPr>
        <w:t>Amy</w:t>
      </w:r>
      <w:r w:rsidRPr="00992B72">
        <w:rPr>
          <w:b/>
        </w:rPr>
        <w:t xml:space="preserve"> </w:t>
      </w:r>
      <w:r w:rsidRPr="00992B72">
        <w:rPr>
          <w:b/>
          <w:noProof/>
        </w:rPr>
        <w:t>Feather</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Medical Students’ Perceptions of Surgical Placement and the Reality of their Experiences</w:t>
      </w:r>
      <w:r>
        <w:br/>
      </w:r>
      <w:r w:rsidRPr="00F856E6">
        <w:rPr>
          <w:noProof/>
          <w:sz w:val="20"/>
          <w:szCs w:val="20"/>
        </w:rPr>
        <w:t>Background</w:t>
      </w:r>
    </w:p>
    <w:p w:rsidR="00F856E6" w:rsidRPr="00F856E6" w:rsidRDefault="00F856E6" w:rsidP="00F856E6">
      <w:pPr>
        <w:rPr>
          <w:noProof/>
          <w:sz w:val="20"/>
          <w:szCs w:val="20"/>
        </w:rPr>
      </w:pPr>
      <w:r w:rsidRPr="00F856E6">
        <w:rPr>
          <w:noProof/>
          <w:sz w:val="20"/>
          <w:szCs w:val="20"/>
        </w:rPr>
        <w:lastRenderedPageBreak/>
        <w:t>Educational benefit in undergraduate clinical placement is frequently assumed but objective evidence remains unclear. The learning environment in surgery is perceived as less ideal due to being clinically challenging. This study aims to compare medical undergraduates’ preconceptions of surgical placement with their actual experience.</w:t>
      </w:r>
    </w:p>
    <w:p w:rsidR="00F856E6" w:rsidRPr="00F856E6" w:rsidRDefault="00F856E6" w:rsidP="00F856E6">
      <w:pPr>
        <w:rPr>
          <w:noProof/>
          <w:sz w:val="20"/>
          <w:szCs w:val="20"/>
        </w:rPr>
      </w:pPr>
      <w:r w:rsidRPr="00F856E6">
        <w:rPr>
          <w:noProof/>
          <w:sz w:val="20"/>
          <w:szCs w:val="20"/>
        </w:rPr>
        <w:t>Method</w:t>
      </w:r>
    </w:p>
    <w:p w:rsidR="00F856E6" w:rsidRPr="00F856E6" w:rsidRDefault="00F856E6" w:rsidP="00F856E6">
      <w:pPr>
        <w:rPr>
          <w:noProof/>
          <w:sz w:val="20"/>
          <w:szCs w:val="20"/>
        </w:rPr>
      </w:pPr>
      <w:r w:rsidRPr="00F856E6">
        <w:rPr>
          <w:noProof/>
          <w:sz w:val="20"/>
          <w:szCs w:val="20"/>
        </w:rPr>
        <w:t>A two-part, semi-qualitative questionnaire was formulated and distributed to third-year medical students at a UK university. Part One ascertained opinions of the year group prior to their surgical placement and a similar survey was sent out afterwards (Part Two). Any respondents who completed Part One after surgical placement, or not in year three, were excluded. Themes included opinions on surgeons and the speciality, placement experiences and career intentions. Data was analysed using statistical software and appropriate non-parametric comparative statistical tests.</w:t>
      </w:r>
    </w:p>
    <w:p w:rsidR="00F856E6" w:rsidRPr="00F856E6" w:rsidRDefault="00F856E6" w:rsidP="00F856E6">
      <w:pPr>
        <w:rPr>
          <w:noProof/>
          <w:sz w:val="20"/>
          <w:szCs w:val="20"/>
        </w:rPr>
      </w:pPr>
      <w:r w:rsidRPr="00F856E6">
        <w:rPr>
          <w:noProof/>
          <w:sz w:val="20"/>
          <w:szCs w:val="20"/>
        </w:rPr>
        <w:t>Results</w:t>
      </w:r>
    </w:p>
    <w:p w:rsidR="00F856E6" w:rsidRPr="00F856E6" w:rsidRDefault="00F856E6" w:rsidP="00F856E6">
      <w:pPr>
        <w:rPr>
          <w:noProof/>
          <w:sz w:val="20"/>
          <w:szCs w:val="20"/>
        </w:rPr>
      </w:pPr>
      <w:r w:rsidRPr="00F856E6">
        <w:rPr>
          <w:noProof/>
          <w:sz w:val="20"/>
          <w:szCs w:val="20"/>
        </w:rPr>
        <w:t>Of all participants, 64 students participated in Part One and 46 in Part Two. Intention to pursue general surgery as a career did not change significantly between pre- and post- placement surveys (p=0.739). A majority of students expected to learn surgical skills, but in reality they did not [90.625% vs. 34.78% (p&lt;0.001)]. They expected to spend more time in theatre than happened in reality (p=0.019). Surgical placement did not change the participants’ opinions to choose surgical careers.</w:t>
      </w:r>
    </w:p>
    <w:p w:rsidR="00F856E6" w:rsidRPr="00F856E6" w:rsidRDefault="00F856E6" w:rsidP="00F856E6">
      <w:pPr>
        <w:rPr>
          <w:noProof/>
          <w:sz w:val="20"/>
          <w:szCs w:val="20"/>
        </w:rPr>
      </w:pPr>
      <w:r w:rsidRPr="00F856E6">
        <w:rPr>
          <w:noProof/>
          <w:sz w:val="20"/>
          <w:szCs w:val="20"/>
        </w:rPr>
        <w:t>Conclusions</w:t>
      </w:r>
    </w:p>
    <w:p w:rsidR="00F856E6" w:rsidRPr="00F856E6" w:rsidRDefault="00F856E6" w:rsidP="00F856E6">
      <w:pPr>
        <w:rPr>
          <w:sz w:val="20"/>
          <w:szCs w:val="20"/>
        </w:rPr>
      </w:pPr>
      <w:r w:rsidRPr="00F856E6">
        <w:rPr>
          <w:noProof/>
          <w:sz w:val="20"/>
          <w:szCs w:val="20"/>
        </w:rPr>
        <w:t>Surgical placement did not have a measurable positive impact on students’ perception of surgery. Although certain stereotypical perceptions were corrected, others were reinforced. This study should raise awareness of the impact role models have during undergraduate placements. It also underlines the need to improve and investigate educational benefits in such attachments.</w:t>
      </w:r>
    </w:p>
    <w:p w:rsidR="00F856E6" w:rsidRDefault="00F856E6" w:rsidP="00DD7B70">
      <w:pPr>
        <w:rPr>
          <w:rStyle w:val="SubtleEmphasis"/>
        </w:rPr>
      </w:pPr>
    </w:p>
    <w:p w:rsidR="00F856E6" w:rsidRPr="00F856E6" w:rsidRDefault="00F856E6" w:rsidP="00F856E6">
      <w:r w:rsidRPr="00992B72">
        <w:rPr>
          <w:b/>
          <w:noProof/>
        </w:rPr>
        <w:t>Shaminder Kaur</w:t>
      </w:r>
      <w:r w:rsidRPr="00992B72">
        <w:rPr>
          <w:b/>
        </w:rPr>
        <w:t xml:space="preserve"> </w:t>
      </w:r>
      <w:r w:rsidRPr="00992B72">
        <w:rPr>
          <w:b/>
          <w:noProof/>
        </w:rPr>
        <w:t>Bhandal</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A Novel Compound with a Potential Use in the Treatment of Brain Tumours</w:t>
      </w:r>
      <w:r>
        <w:br/>
      </w:r>
      <w:r w:rsidR="00373FA0">
        <w:rPr>
          <w:noProof/>
          <w:sz w:val="20"/>
          <w:szCs w:val="20"/>
        </w:rPr>
        <w:br/>
      </w:r>
      <w:r w:rsidRPr="00F856E6">
        <w:rPr>
          <w:noProof/>
          <w:sz w:val="20"/>
          <w:szCs w:val="20"/>
        </w:rPr>
        <w:t>Background</w:t>
      </w:r>
    </w:p>
    <w:p w:rsidR="00F856E6" w:rsidRPr="00F856E6" w:rsidRDefault="00F856E6" w:rsidP="00F856E6">
      <w:pPr>
        <w:rPr>
          <w:noProof/>
          <w:sz w:val="20"/>
          <w:szCs w:val="20"/>
        </w:rPr>
      </w:pPr>
      <w:r w:rsidRPr="00F856E6">
        <w:rPr>
          <w:noProof/>
          <w:sz w:val="20"/>
          <w:szCs w:val="20"/>
        </w:rPr>
        <w:t>Gliomas are highly aggressive brain tumours, currently the biggest cancer killer in people aged 0–39 years. The poor prognosis is due to their ability to invade and migrate. Despite a combined treatment regime of surgical resection, radiation therapy and chemotherapy most patients die within one year of initial diagnosis. Therefore, there is an urgent need to develop novel treatments. MI192, a benzamide-based histone deacetylase inhibitor, has been identified as a potential agent to combat their invasive nature.</w:t>
      </w:r>
    </w:p>
    <w:p w:rsidR="00F856E6" w:rsidRPr="00F856E6" w:rsidRDefault="00F856E6" w:rsidP="00F856E6">
      <w:pPr>
        <w:rPr>
          <w:noProof/>
          <w:sz w:val="20"/>
          <w:szCs w:val="20"/>
        </w:rPr>
      </w:pPr>
      <w:r w:rsidRPr="00F856E6">
        <w:rPr>
          <w:noProof/>
          <w:sz w:val="20"/>
          <w:szCs w:val="20"/>
        </w:rPr>
        <w:t>Method</w:t>
      </w:r>
    </w:p>
    <w:p w:rsidR="00F856E6" w:rsidRPr="00F856E6" w:rsidRDefault="00F856E6" w:rsidP="00F856E6">
      <w:pPr>
        <w:rPr>
          <w:noProof/>
          <w:sz w:val="20"/>
          <w:szCs w:val="20"/>
        </w:rPr>
      </w:pPr>
      <w:r w:rsidRPr="00F856E6">
        <w:rPr>
          <w:noProof/>
          <w:sz w:val="20"/>
          <w:szCs w:val="20"/>
        </w:rPr>
        <w:t>Three assays were conducted using the adult glioma cell line U251, MI192 and the indirubin derivative 6-bromoindirubin-oxime (BIO) as a control:</w:t>
      </w:r>
    </w:p>
    <w:p w:rsidR="00F856E6" w:rsidRPr="00F856E6" w:rsidRDefault="00F856E6" w:rsidP="00F856E6">
      <w:pPr>
        <w:rPr>
          <w:noProof/>
          <w:sz w:val="20"/>
          <w:szCs w:val="20"/>
        </w:rPr>
      </w:pPr>
      <w:r w:rsidRPr="00F856E6">
        <w:rPr>
          <w:noProof/>
          <w:sz w:val="20"/>
          <w:szCs w:val="20"/>
        </w:rPr>
        <w:t>3D assay – glioma cells were cultured as tumour spheres in medium ± MI192 and control (BIO). Photos were taken at 0, 24, 48 and 72 hours. For each tumour, the area of the central core and the migrated cells were calculated by annotating using a stylus, touch screen and ImageScope software. The migration index was calculated as:</w:t>
      </w:r>
    </w:p>
    <w:p w:rsidR="00F856E6" w:rsidRPr="00F856E6" w:rsidRDefault="00F856E6" w:rsidP="00F856E6">
      <w:pPr>
        <w:rPr>
          <w:noProof/>
          <w:sz w:val="20"/>
          <w:szCs w:val="20"/>
        </w:rPr>
      </w:pPr>
      <w:r w:rsidRPr="00F856E6">
        <w:rPr>
          <w:noProof/>
          <w:sz w:val="20"/>
          <w:szCs w:val="20"/>
        </w:rPr>
        <w:t>area of migration zone – area of core</w:t>
      </w:r>
    </w:p>
    <w:p w:rsidR="00F856E6" w:rsidRPr="00F856E6" w:rsidRDefault="00F856E6" w:rsidP="00F856E6">
      <w:pPr>
        <w:rPr>
          <w:noProof/>
          <w:sz w:val="20"/>
          <w:szCs w:val="20"/>
        </w:rPr>
      </w:pPr>
      <w:r w:rsidRPr="00F856E6">
        <w:rPr>
          <w:noProof/>
          <w:sz w:val="20"/>
          <w:szCs w:val="20"/>
        </w:rPr>
        <w:t>total area</w:t>
      </w:r>
    </w:p>
    <w:p w:rsidR="00F856E6" w:rsidRPr="00F856E6" w:rsidRDefault="00F856E6" w:rsidP="00F856E6">
      <w:pPr>
        <w:rPr>
          <w:noProof/>
          <w:sz w:val="20"/>
          <w:szCs w:val="20"/>
        </w:rPr>
      </w:pPr>
      <w:r w:rsidRPr="00F856E6">
        <w:rPr>
          <w:noProof/>
          <w:sz w:val="20"/>
          <w:szCs w:val="20"/>
        </w:rPr>
        <w:lastRenderedPageBreak/>
        <w:t>Immunofluorescence – 12 slides ± MI192 or control (BIO) were incubated and stained to fluoresce particular antibodies marking: migration (anti-acetylate), proliferation (Ki67), apoptosis (cleaved caspase-3) and stemness (SOX2). The slides were digitally imaged and the intensity of the fluorescence measured.</w:t>
      </w:r>
    </w:p>
    <w:p w:rsidR="00F856E6" w:rsidRPr="00F856E6" w:rsidRDefault="00F856E6" w:rsidP="00F856E6">
      <w:pPr>
        <w:rPr>
          <w:noProof/>
          <w:sz w:val="20"/>
          <w:szCs w:val="20"/>
        </w:rPr>
      </w:pPr>
      <w:r w:rsidRPr="00F856E6">
        <w:rPr>
          <w:noProof/>
          <w:sz w:val="20"/>
          <w:szCs w:val="20"/>
        </w:rPr>
        <w:t>Live cell imaging – U251 cells ± MI192 were cultured and filmed over 24h at 150min intervals.</w:t>
      </w:r>
    </w:p>
    <w:p w:rsidR="00F856E6" w:rsidRPr="00F856E6" w:rsidRDefault="00F856E6" w:rsidP="00F856E6">
      <w:pPr>
        <w:rPr>
          <w:noProof/>
          <w:sz w:val="20"/>
          <w:szCs w:val="20"/>
        </w:rPr>
      </w:pPr>
      <w:r w:rsidRPr="00F856E6">
        <w:rPr>
          <w:noProof/>
          <w:sz w:val="20"/>
          <w:szCs w:val="20"/>
        </w:rPr>
        <w:t>Results</w:t>
      </w:r>
    </w:p>
    <w:p w:rsidR="00F856E6" w:rsidRPr="00F856E6" w:rsidRDefault="00F856E6" w:rsidP="00F856E6">
      <w:pPr>
        <w:rPr>
          <w:noProof/>
          <w:sz w:val="20"/>
          <w:szCs w:val="20"/>
        </w:rPr>
      </w:pPr>
      <w:r w:rsidRPr="00F856E6">
        <w:rPr>
          <w:noProof/>
          <w:sz w:val="20"/>
          <w:szCs w:val="20"/>
        </w:rPr>
        <w:t>In a 3D spheroid invasion assay, there was no significant change in migration. Immunofluorescence studies of the MI192 exposed cells revealed an increase in the acetylation of tubulin, whereas proliferation, apoptosis and stemness status remained unchanged. In 2D migration assays, MI192 adversely affected the migratory ability of U251 as evidenced by reduced cell speed.</w:t>
      </w:r>
    </w:p>
    <w:p w:rsidR="00F856E6" w:rsidRPr="00F856E6" w:rsidRDefault="00F856E6" w:rsidP="00F856E6">
      <w:pPr>
        <w:rPr>
          <w:noProof/>
          <w:sz w:val="20"/>
          <w:szCs w:val="20"/>
        </w:rPr>
      </w:pPr>
      <w:r w:rsidRPr="00F856E6">
        <w:rPr>
          <w:noProof/>
          <w:sz w:val="20"/>
          <w:szCs w:val="20"/>
        </w:rPr>
        <w:t>Conclusions</w:t>
      </w:r>
    </w:p>
    <w:p w:rsidR="00F856E6" w:rsidRPr="00F856E6" w:rsidRDefault="00F856E6" w:rsidP="00F856E6">
      <w:pPr>
        <w:rPr>
          <w:noProof/>
          <w:sz w:val="20"/>
          <w:szCs w:val="20"/>
        </w:rPr>
      </w:pPr>
      <w:r w:rsidRPr="00F856E6">
        <w:rPr>
          <w:noProof/>
          <w:sz w:val="20"/>
          <w:szCs w:val="20"/>
        </w:rPr>
        <w:t>MI192 appears to inhibit glioma cell migration via hypoacetylation of microtubules but this seems to be cell line and topography dependent. HDAC inhibitors may prove useful in targeting migration in certain subtypes of glioma cell. If this migration can be inhibited effectively in glioma patients, MI192 could potentially be used alongside treatments such as chemotherapy, radiotherapy and surgery to make them more effective.</w:t>
      </w:r>
    </w:p>
    <w:p w:rsidR="002159F6" w:rsidRPr="008F0D2E" w:rsidRDefault="002159F6" w:rsidP="00DD7B70"/>
    <w:p w:rsidR="003E5931" w:rsidRPr="008F0D2E" w:rsidRDefault="003E5931" w:rsidP="00CD696E">
      <w:pPr>
        <w:pStyle w:val="Heading2"/>
      </w:pPr>
      <w:bookmarkStart w:id="77" w:name="_Toc501711963"/>
      <w:r w:rsidRPr="008F0D2E">
        <w:t>Session 16C (</w:t>
      </w:r>
      <w:r w:rsidR="00F856E6">
        <w:t>Monash University, Australia &amp; Malaysia</w:t>
      </w:r>
      <w:r w:rsidRPr="008F0D2E">
        <w:t>)</w:t>
      </w:r>
      <w:bookmarkEnd w:id="77"/>
      <w:r w:rsidRPr="008F0D2E">
        <w:t xml:space="preserve"> </w:t>
      </w:r>
    </w:p>
    <w:p w:rsidR="00F10D8F" w:rsidRDefault="00D00F62" w:rsidP="00DD7B70">
      <w:pPr>
        <w:rPr>
          <w:rStyle w:val="SubtleEmphasis"/>
        </w:rPr>
      </w:pPr>
      <w:r w:rsidRPr="00CD696E">
        <w:rPr>
          <w:rStyle w:val="SubtleEmphasis"/>
        </w:rPr>
        <w:t xml:space="preserve">Theme: </w:t>
      </w:r>
      <w:r w:rsidR="00F856E6" w:rsidRPr="00F856E6">
        <w:rPr>
          <w:rStyle w:val="SubtleEmphasis"/>
        </w:rPr>
        <w:t>Medical Technologies</w:t>
      </w:r>
    </w:p>
    <w:p w:rsidR="00F856E6" w:rsidRDefault="00F856E6" w:rsidP="00F856E6">
      <w:pPr>
        <w:rPr>
          <w:b/>
          <w:noProof/>
        </w:rPr>
      </w:pPr>
    </w:p>
    <w:p w:rsidR="00F856E6" w:rsidRPr="00F856E6" w:rsidRDefault="00F856E6" w:rsidP="00F856E6">
      <w:r w:rsidRPr="00992B72">
        <w:rPr>
          <w:b/>
          <w:noProof/>
        </w:rPr>
        <w:t>Christopher</w:t>
      </w:r>
      <w:r w:rsidRPr="00992B72">
        <w:rPr>
          <w:b/>
        </w:rPr>
        <w:t xml:space="preserve"> </w:t>
      </w:r>
      <w:r w:rsidRPr="00992B72">
        <w:rPr>
          <w:b/>
          <w:noProof/>
        </w:rPr>
        <w:t>Thuring</w:t>
      </w:r>
      <w:r w:rsidRPr="00992B72">
        <w:t xml:space="preserve"> (</w:t>
      </w:r>
      <w:r w:rsidRPr="00992B72">
        <w:rPr>
          <w:noProof/>
        </w:rPr>
        <w:t>Monash University</w:t>
      </w:r>
      <w:r w:rsidRPr="00992B72">
        <w:t xml:space="preserve">, </w:t>
      </w:r>
      <w:r w:rsidRPr="00992B72">
        <w:rPr>
          <w:noProof/>
        </w:rPr>
        <w:t>Australia</w:t>
      </w:r>
      <w:r w:rsidR="00373FA0">
        <w:t>)</w:t>
      </w:r>
      <w:r w:rsidR="00373FA0">
        <w:br/>
      </w:r>
      <w:r w:rsidRPr="00992B72">
        <w:rPr>
          <w:i/>
          <w:noProof/>
        </w:rPr>
        <w:t>Investigating Functional Applications of Monoclonal Antibodies on Human Embryonic Stem Cells</w:t>
      </w:r>
      <w:r>
        <w:br/>
      </w:r>
      <w:r w:rsidR="00373FA0">
        <w:rPr>
          <w:noProof/>
          <w:sz w:val="20"/>
          <w:szCs w:val="20"/>
        </w:rPr>
        <w:br/>
      </w:r>
      <w:r w:rsidRPr="00F856E6">
        <w:rPr>
          <w:noProof/>
          <w:sz w:val="20"/>
          <w:szCs w:val="20"/>
        </w:rPr>
        <w:t>The capacity of human embryonic stem cells to have unlimited self-renewal and give rise to every cell type of an adult organism positions them as an informative research tool for developments in regenerative medicine. Stem-cell therapies are currently the cutting-edge advancement in personalised medicine, specifically for neurodegenerative diseases such as Parkinson’s, Alzheimer’s, and Amyotrophic Lateral Sclerosis (ALS).</w:t>
      </w:r>
    </w:p>
    <w:p w:rsidR="00F856E6" w:rsidRPr="00F856E6" w:rsidRDefault="00F856E6" w:rsidP="00F856E6">
      <w:pPr>
        <w:rPr>
          <w:noProof/>
          <w:sz w:val="20"/>
          <w:szCs w:val="20"/>
        </w:rPr>
      </w:pPr>
      <w:r w:rsidRPr="00F856E6">
        <w:rPr>
          <w:noProof/>
          <w:sz w:val="20"/>
          <w:szCs w:val="20"/>
        </w:rPr>
        <w:t>Our research questions include: How is the growth and viability of stem cells altered by the addition of our two antibody molecules? Does this effect vary based on the material they are grown on? How does this apply inside a human body? Are there functional applications for these molecules in clinical and industrial settings such as cancer and neurodegenerative treatment? We aimed to use two antibody molecules, anti-Cadherin 3 and anti-Neuroligin 4X to assess effects on stem-cell viability and growth on four different growth materials. This was achieved by growing human embryonic stem cells, adding the antibody molecules, then measuring viability and growth cell count and microscopy. Our results show that both antibody molecules had a statistically significant effect on one of the four substrates investigated.</w:t>
      </w:r>
    </w:p>
    <w:p w:rsidR="00F856E6" w:rsidRPr="00F856E6" w:rsidRDefault="00F856E6" w:rsidP="00F856E6">
      <w:pPr>
        <w:rPr>
          <w:sz w:val="20"/>
          <w:szCs w:val="20"/>
        </w:rPr>
      </w:pPr>
      <w:r w:rsidRPr="00F856E6">
        <w:rPr>
          <w:noProof/>
          <w:sz w:val="20"/>
          <w:szCs w:val="20"/>
        </w:rPr>
        <w:t>This research thus provides the foundations for further investigation into applications for antibody molecules to assist with stem-cell treatments in a clinical setting. Such applications could see improvements in success rates for organ transplant, and novel treatments to delay cancer or neurodegenerative disease progression.</w:t>
      </w:r>
    </w:p>
    <w:p w:rsidR="00F856E6" w:rsidRDefault="00F856E6" w:rsidP="00DD7B70">
      <w:pPr>
        <w:rPr>
          <w:rStyle w:val="SubtleEmphasis"/>
        </w:rPr>
      </w:pPr>
    </w:p>
    <w:p w:rsidR="00F856E6" w:rsidRPr="00F856E6" w:rsidRDefault="00F856E6" w:rsidP="00F856E6">
      <w:r w:rsidRPr="00992B72">
        <w:rPr>
          <w:b/>
          <w:noProof/>
        </w:rPr>
        <w:t>Daniel</w:t>
      </w:r>
      <w:r w:rsidRPr="00992B72">
        <w:rPr>
          <w:b/>
        </w:rPr>
        <w:t xml:space="preserve"> </w:t>
      </w:r>
      <w:r w:rsidRPr="00992B72">
        <w:rPr>
          <w:b/>
          <w:noProof/>
        </w:rPr>
        <w:t>Chan</w:t>
      </w:r>
      <w:r w:rsidRPr="00992B72">
        <w:t xml:space="preserve"> (</w:t>
      </w:r>
      <w:r w:rsidRPr="00992B72">
        <w:rPr>
          <w:noProof/>
        </w:rPr>
        <w:t>Monash University</w:t>
      </w:r>
      <w:r w:rsidRPr="00992B72">
        <w:t xml:space="preserve">, </w:t>
      </w:r>
      <w:r w:rsidRPr="00992B72">
        <w:rPr>
          <w:noProof/>
        </w:rPr>
        <w:t>Australia</w:t>
      </w:r>
      <w:r w:rsidR="00373FA0">
        <w:t>)</w:t>
      </w:r>
      <w:r w:rsidR="00373FA0">
        <w:br/>
      </w:r>
      <w:r w:rsidRPr="00992B72">
        <w:rPr>
          <w:i/>
          <w:noProof/>
        </w:rPr>
        <w:t>A Review of 88 Pacemakers and Implantable Cardioverter Defibrillators in Australian Cases of Sudden Death (2011–2016)</w:t>
      </w:r>
      <w:r>
        <w:br/>
      </w:r>
      <w:r w:rsidR="00373FA0">
        <w:rPr>
          <w:noProof/>
          <w:sz w:val="20"/>
          <w:szCs w:val="20"/>
        </w:rPr>
        <w:br/>
      </w:r>
      <w:r w:rsidRPr="00F856E6">
        <w:rPr>
          <w:noProof/>
          <w:sz w:val="20"/>
          <w:szCs w:val="20"/>
        </w:rPr>
        <w:t xml:space="preserve">From 2011 to 2016, 29,232 cases admitted to the Victorian Institute of Forensic Medicine were analysed for CIEDs. Out of 364 CIEDs removed from deceased individuals, 70 pacemakers and 18 implantable cardioverter </w:t>
      </w:r>
      <w:r w:rsidRPr="00F856E6">
        <w:rPr>
          <w:noProof/>
          <w:sz w:val="20"/>
          <w:szCs w:val="20"/>
        </w:rPr>
        <w:lastRenderedPageBreak/>
        <w:t>defibrillator (ICDs) were interrogated ex vivo by a cardiologist. Of these cases, 94% progressed to a full autopsy with histological examination including detailed examination of the heart. The objective of this study was to examine the validity of routine cardiac implantable electronic device (CIED) interrogations in a medico-legal death investigation and evaluate its role as an alternative to conventional post-mortem examination.</w:t>
      </w:r>
    </w:p>
    <w:p w:rsidR="00F856E6" w:rsidRPr="00F856E6" w:rsidRDefault="00F856E6" w:rsidP="00F856E6">
      <w:pPr>
        <w:rPr>
          <w:noProof/>
          <w:sz w:val="20"/>
          <w:szCs w:val="20"/>
        </w:rPr>
      </w:pPr>
      <w:r w:rsidRPr="00F856E6">
        <w:rPr>
          <w:noProof/>
          <w:sz w:val="20"/>
          <w:szCs w:val="20"/>
        </w:rPr>
        <w:t>Results</w:t>
      </w:r>
    </w:p>
    <w:p w:rsidR="00F856E6" w:rsidRPr="00F856E6" w:rsidRDefault="00F856E6" w:rsidP="00F856E6">
      <w:pPr>
        <w:rPr>
          <w:noProof/>
          <w:sz w:val="20"/>
          <w:szCs w:val="20"/>
        </w:rPr>
      </w:pPr>
      <w:r w:rsidRPr="00F856E6">
        <w:rPr>
          <w:noProof/>
          <w:sz w:val="20"/>
          <w:szCs w:val="20"/>
        </w:rPr>
        <w:t>Baseline characteristics of the cases with CIEDs interrogated were 76% male and 24% female, with a mean age of 71.3 ± 17.1 years (0.3 to 95.0), mean body weight of 77 ± 25kg (5 to 163), and mean heart weight of 557 ± 162g (70 to 1090). Full autopsies found that 81% had cardiomegaly, 80% had coronary artery atherosclerosis, and 89% had myocardial fibrosis, with 65% having the combination of all three comorbidities. The manufacturers of the CIEDs interrogated were Biotronik 9.1%, Boston Scientific 16%, Medtronic 51% and St. Jude Medical 24%. Interrogation found that 3.4 % of the devices failed to function properly, 15% showed an ‘elective replacement indicator’, 36% recorded an exact time of death and 40% recorded a terminal rhythm. The cause of death was determined to be cardiac 63% and non-cardiac 38% with the manner of death found to be natural 81%, unintentional 16%, intentional self-harm 2.2% and homicide 1.1%. Subgroup analysis found that 59% with pacemakers and 72% with ICDs had all three cardiac comorbidities, 37% of pacemakers and 56% of ICDs recorded terminal rhythms of either ventricular fibrillation or ventricular tachycardia, and 25% who deceased from cardiac causes and 27% who deceased from non-cardiac causes had abnormal rhythms within the last month of life.</w:t>
      </w:r>
    </w:p>
    <w:p w:rsidR="00F856E6" w:rsidRPr="00F856E6" w:rsidRDefault="00F856E6" w:rsidP="00F856E6">
      <w:pPr>
        <w:rPr>
          <w:noProof/>
          <w:sz w:val="20"/>
          <w:szCs w:val="20"/>
        </w:rPr>
      </w:pPr>
      <w:r w:rsidRPr="00F856E6">
        <w:rPr>
          <w:noProof/>
          <w:sz w:val="20"/>
          <w:szCs w:val="20"/>
        </w:rPr>
        <w:t>Conclusion</w:t>
      </w:r>
    </w:p>
    <w:p w:rsidR="00F856E6" w:rsidRPr="00F856E6" w:rsidRDefault="00F856E6" w:rsidP="00F856E6">
      <w:pPr>
        <w:rPr>
          <w:sz w:val="20"/>
          <w:szCs w:val="20"/>
        </w:rPr>
      </w:pPr>
      <w:r w:rsidRPr="00F856E6">
        <w:rPr>
          <w:noProof/>
          <w:sz w:val="20"/>
          <w:szCs w:val="20"/>
        </w:rPr>
        <w:t>CIED interrogation can give forensic medicine an insight into the final moment of a patient’s life. It can often be used to determine if the CIED had been working satisfactory, and if so what was the exact time of death, terminal rhythm and any abnormal rhythms in at least the final month before death. CIED interrogation can demonstrate the mode of death and allow the family closure. Minimally invasive interrogation before a body is cooled appears to be the most effective method of retrieving vital information from a CIED. Although this study has been limited by a medium sample size of 88 CIEDs interrogated, it shows both the cost effectiveness and clear benefit of post-mortem CIED analysis, suggesting the regular independent interrogation of devices for medico-legal and technical purposes.</w:t>
      </w:r>
    </w:p>
    <w:p w:rsidR="00F856E6" w:rsidRDefault="00F856E6" w:rsidP="00DD7B70">
      <w:pPr>
        <w:rPr>
          <w:rStyle w:val="SubtleEmphasis"/>
        </w:rPr>
      </w:pPr>
    </w:p>
    <w:p w:rsidR="00F856E6" w:rsidRPr="00F856E6" w:rsidRDefault="00F856E6" w:rsidP="00F856E6">
      <w:r w:rsidRPr="00992B72">
        <w:rPr>
          <w:b/>
          <w:noProof/>
        </w:rPr>
        <w:t>Edward</w:t>
      </w:r>
      <w:r w:rsidRPr="00992B72">
        <w:rPr>
          <w:b/>
        </w:rPr>
        <w:t xml:space="preserve"> </w:t>
      </w:r>
      <w:r w:rsidRPr="00992B72">
        <w:rPr>
          <w:b/>
          <w:noProof/>
        </w:rPr>
        <w:t>Dann</w:t>
      </w:r>
      <w:r w:rsidRPr="00992B72">
        <w:t xml:space="preserve"> (</w:t>
      </w:r>
      <w:r w:rsidRPr="00992B72">
        <w:rPr>
          <w:noProof/>
        </w:rPr>
        <w:t>Monash University</w:t>
      </w:r>
      <w:r w:rsidRPr="00992B72">
        <w:t xml:space="preserve">, </w:t>
      </w:r>
      <w:r w:rsidRPr="00992B72">
        <w:rPr>
          <w:noProof/>
        </w:rPr>
        <w:t>Australia</w:t>
      </w:r>
      <w:r w:rsidR="00373FA0">
        <w:t>)</w:t>
      </w:r>
      <w:r w:rsidR="00373FA0">
        <w:br/>
      </w:r>
      <w:r w:rsidRPr="00992B72">
        <w:rPr>
          <w:i/>
          <w:noProof/>
        </w:rPr>
        <w:t>Automated Particle Picking in Cryo-Electron Microscopy: A deep-learning approach</w:t>
      </w:r>
      <w:r>
        <w:br/>
      </w:r>
      <w:r w:rsidR="00373FA0">
        <w:rPr>
          <w:noProof/>
          <w:sz w:val="20"/>
          <w:szCs w:val="20"/>
        </w:rPr>
        <w:br/>
      </w:r>
      <w:r w:rsidRPr="00F856E6">
        <w:rPr>
          <w:noProof/>
          <w:sz w:val="20"/>
          <w:szCs w:val="20"/>
        </w:rPr>
        <w:t>3D reconstruction techniques using cryo-electron microscopy (Cryo-Em) Images contribute valuable insight into the properties and functional characteristics of organic protein macromolecules. Creating accurate and useful 3D reconstructions of molecular structure currently requires tens of thousands of Cryo-EM images to be pre-processed using a method known as ‘particle picking’. Images of the molecule are laboriously identified and isolated from the background EM slide.</w:t>
      </w:r>
    </w:p>
    <w:p w:rsidR="00F856E6" w:rsidRPr="00F856E6" w:rsidRDefault="00F856E6" w:rsidP="00F856E6">
      <w:pPr>
        <w:rPr>
          <w:noProof/>
          <w:sz w:val="20"/>
          <w:szCs w:val="20"/>
        </w:rPr>
      </w:pPr>
      <w:r w:rsidRPr="00F856E6">
        <w:rPr>
          <w:noProof/>
          <w:sz w:val="20"/>
          <w:szCs w:val="20"/>
        </w:rPr>
        <w:t>The length and repetitiveness of the task make particle picking a good candidate for computational automation. Large amounts of noise along with high variability in the 2D projection of the molecular structure limits our ability to fully automate established masking techniques. Our investigation explores the possibility of replacing the human expert with a low-cost, fully automated solution. We explored the expanding capability of neural networks, and created a flexible solution able to recognise and filter a variety of protein images from the background.</w:t>
      </w:r>
    </w:p>
    <w:p w:rsidR="00F856E6" w:rsidRPr="00F856E6" w:rsidRDefault="00F856E6" w:rsidP="00F856E6">
      <w:pPr>
        <w:rPr>
          <w:sz w:val="20"/>
          <w:szCs w:val="20"/>
        </w:rPr>
      </w:pPr>
      <w:r w:rsidRPr="00F856E6">
        <w:rPr>
          <w:noProof/>
          <w:sz w:val="20"/>
          <w:szCs w:val="20"/>
        </w:rPr>
        <w:t xml:space="preserve">We trained and evaluated a series of convolutional neural networks (CNNs) on 20,000 cryo-electron microscopy images prepared cryogenically. Our current results indicate that the network models should be able to achieve accuracy on par with a human expert for a variety of proteins macromolecules. The models that achieved the greatest accuracy were inspired by neural networks trained to recognise textural quality, micro-features and motion in still images. These findings offer a potential framework for designing automated </w:t>
      </w:r>
      <w:r w:rsidRPr="00F856E6">
        <w:rPr>
          <w:noProof/>
          <w:sz w:val="20"/>
          <w:szCs w:val="20"/>
        </w:rPr>
        <w:lastRenderedPageBreak/>
        <w:t>particle pickers using CNNs, further streamlining the 3D reconstruction pipeline for unique molecular structure.</w:t>
      </w:r>
    </w:p>
    <w:p w:rsidR="00F856E6" w:rsidRDefault="00F856E6" w:rsidP="00DD7B70">
      <w:pPr>
        <w:rPr>
          <w:rStyle w:val="SubtleEmphasis"/>
        </w:rPr>
      </w:pPr>
    </w:p>
    <w:p w:rsidR="00F856E6" w:rsidRPr="00F856E6" w:rsidRDefault="00F856E6" w:rsidP="00F856E6">
      <w:r w:rsidRPr="00992B72">
        <w:rPr>
          <w:b/>
          <w:noProof/>
        </w:rPr>
        <w:t>Hong Swo</w:t>
      </w:r>
      <w:r w:rsidRPr="00992B72">
        <w:rPr>
          <w:b/>
        </w:rPr>
        <w:t xml:space="preserve"> </w:t>
      </w:r>
      <w:r w:rsidRPr="00992B72">
        <w:rPr>
          <w:b/>
          <w:noProof/>
        </w:rPr>
        <w:t>Tan</w:t>
      </w:r>
      <w:r w:rsidRPr="00992B72">
        <w:t xml:space="preserve"> (</w:t>
      </w:r>
      <w:r w:rsidRPr="00992B72">
        <w:rPr>
          <w:noProof/>
        </w:rPr>
        <w:t>Monash University</w:t>
      </w:r>
      <w:r w:rsidRPr="00992B72">
        <w:t xml:space="preserve">, </w:t>
      </w:r>
      <w:r w:rsidRPr="00992B72">
        <w:rPr>
          <w:noProof/>
        </w:rPr>
        <w:t>Malaysia</w:t>
      </w:r>
      <w:r w:rsidR="00373FA0">
        <w:t>)</w:t>
      </w:r>
      <w:r w:rsidR="00373FA0">
        <w:br/>
      </w:r>
      <w:r w:rsidRPr="00992B72">
        <w:rPr>
          <w:i/>
          <w:noProof/>
        </w:rPr>
        <w:t>Comparison of Chest Clinical Examination versus Chest X-Ray: Which correlates better with a CT scan?</w:t>
      </w:r>
      <w:r>
        <w:br/>
      </w:r>
      <w:r w:rsidR="00373FA0">
        <w:rPr>
          <w:noProof/>
          <w:sz w:val="20"/>
          <w:szCs w:val="20"/>
        </w:rPr>
        <w:br/>
      </w:r>
      <w:r w:rsidRPr="00F856E6">
        <w:rPr>
          <w:noProof/>
          <w:sz w:val="20"/>
          <w:szCs w:val="20"/>
        </w:rPr>
        <w:t>Background</w:t>
      </w:r>
    </w:p>
    <w:p w:rsidR="00F856E6" w:rsidRPr="00F856E6" w:rsidRDefault="00F856E6" w:rsidP="00F856E6">
      <w:pPr>
        <w:rPr>
          <w:noProof/>
          <w:sz w:val="20"/>
          <w:szCs w:val="20"/>
        </w:rPr>
      </w:pPr>
      <w:r w:rsidRPr="00F856E6">
        <w:rPr>
          <w:noProof/>
          <w:sz w:val="20"/>
          <w:szCs w:val="20"/>
        </w:rPr>
        <w:t>Doctors often order chest X-rays without first conducting a thorough clinical chest examination. Informal conversations indicate that they are reluctant to carry out a clinical examination because they consider it inaccurate, time-wasting and medicolegally inadequate. However, there is no reason that a chest X-ray should be more accurate than clinical examination. There is no evidence in the literature that the chest X-ray is more accurate than clinical examination when compared to a gold standard, such as a CT scan.</w:t>
      </w:r>
    </w:p>
    <w:p w:rsidR="00F856E6" w:rsidRPr="00F856E6" w:rsidRDefault="00F856E6" w:rsidP="00F856E6">
      <w:pPr>
        <w:rPr>
          <w:noProof/>
          <w:sz w:val="20"/>
          <w:szCs w:val="20"/>
        </w:rPr>
      </w:pPr>
      <w:r w:rsidRPr="00F856E6">
        <w:rPr>
          <w:noProof/>
          <w:sz w:val="20"/>
          <w:szCs w:val="20"/>
        </w:rPr>
        <w:t>Yet chest films have limited accuracy: varying from 33% to 80% in different settings. Readers differ markedly in interpretation of a chest X-ray, and even with their own diagnoses. Chest films miss about 20% of parapneumonic effusions and are particularly weak for lower lobe lesions. It is more than likely that clinical examination and X-ray are complementary.</w:t>
      </w:r>
    </w:p>
    <w:p w:rsidR="00F856E6" w:rsidRPr="00F856E6" w:rsidRDefault="00F856E6" w:rsidP="00F856E6">
      <w:pPr>
        <w:rPr>
          <w:noProof/>
          <w:sz w:val="20"/>
          <w:szCs w:val="20"/>
        </w:rPr>
      </w:pPr>
      <w:r w:rsidRPr="00F856E6">
        <w:rPr>
          <w:noProof/>
          <w:sz w:val="20"/>
          <w:szCs w:val="20"/>
        </w:rPr>
        <w:t>Research aims</w:t>
      </w:r>
    </w:p>
    <w:p w:rsidR="00F856E6" w:rsidRPr="00F856E6" w:rsidRDefault="00F856E6" w:rsidP="00F856E6">
      <w:pPr>
        <w:rPr>
          <w:noProof/>
          <w:sz w:val="20"/>
          <w:szCs w:val="20"/>
        </w:rPr>
      </w:pPr>
      <w:r w:rsidRPr="00F856E6">
        <w:rPr>
          <w:noProof/>
          <w:sz w:val="20"/>
          <w:szCs w:val="20"/>
        </w:rPr>
        <w:t>To conduct a pilot study to compare the sensitivity, specificity, PPV, NPV of clinical examination and of chest X-ray, using CT scans as a gold standard.</w:t>
      </w:r>
    </w:p>
    <w:p w:rsidR="00F856E6" w:rsidRPr="00F856E6" w:rsidRDefault="00F856E6" w:rsidP="00F856E6">
      <w:pPr>
        <w:rPr>
          <w:noProof/>
          <w:sz w:val="20"/>
          <w:szCs w:val="20"/>
        </w:rPr>
      </w:pPr>
      <w:r w:rsidRPr="00F856E6">
        <w:rPr>
          <w:noProof/>
          <w:sz w:val="20"/>
          <w:szCs w:val="20"/>
        </w:rPr>
        <w:t>Method</w:t>
      </w:r>
    </w:p>
    <w:p w:rsidR="00F856E6" w:rsidRPr="00F856E6" w:rsidRDefault="00F856E6" w:rsidP="00F856E6">
      <w:pPr>
        <w:rPr>
          <w:noProof/>
          <w:sz w:val="20"/>
          <w:szCs w:val="20"/>
        </w:rPr>
      </w:pPr>
      <w:r w:rsidRPr="00F856E6">
        <w:rPr>
          <w:noProof/>
          <w:sz w:val="20"/>
          <w:szCs w:val="20"/>
        </w:rPr>
        <w:t>Patients who have undergone CT scans, on clinical grounds, will be included. A few specially trained housemen will examine them. Findings will be compared with X-ray findings (without knowledge of CT findings, which will represent the gold standard). The CT, X-ray and clinical examination will be done within 48 hours of each other. Good clinical practice guidelines will be followed.</w:t>
      </w:r>
    </w:p>
    <w:p w:rsidR="00F856E6" w:rsidRPr="00F856E6" w:rsidRDefault="00F856E6" w:rsidP="00F856E6">
      <w:pPr>
        <w:rPr>
          <w:sz w:val="20"/>
          <w:szCs w:val="20"/>
        </w:rPr>
      </w:pPr>
      <w:r w:rsidRPr="00F856E6">
        <w:rPr>
          <w:noProof/>
          <w:sz w:val="20"/>
          <w:szCs w:val="20"/>
        </w:rPr>
        <w:t>The estimated sample size (non-inferiority pilot study) is 66 (assumptions: both examinations have approximately 66% accuracy, alpha=0.1, power=0.8, non-inferiority limit=25%)</w:t>
      </w:r>
    </w:p>
    <w:p w:rsidR="00F10D8F" w:rsidRPr="008F0D2E" w:rsidRDefault="00F10D8F" w:rsidP="00DD7B70"/>
    <w:p w:rsidR="003E5931" w:rsidRPr="008F0D2E" w:rsidRDefault="00F856E6" w:rsidP="00CD696E">
      <w:pPr>
        <w:pStyle w:val="Heading2"/>
        <w:rPr>
          <w:i/>
        </w:rPr>
      </w:pPr>
      <w:bookmarkStart w:id="78" w:name="_Toc501711964"/>
      <w:r>
        <w:t xml:space="preserve">Session 16D </w:t>
      </w:r>
      <w:r w:rsidRPr="008F0D2E">
        <w:t xml:space="preserve">(Warwick </w:t>
      </w:r>
      <w:r>
        <w:t xml:space="preserve">University, UK </w:t>
      </w:r>
      <w:r w:rsidRPr="008F0D2E">
        <w:t>&amp;</w:t>
      </w:r>
      <w:r>
        <w:t xml:space="preserve"> Kyushu University, Japan</w:t>
      </w:r>
      <w:r w:rsidR="003E5931" w:rsidRPr="008F0D2E">
        <w:t>)</w:t>
      </w:r>
      <w:bookmarkEnd w:id="78"/>
      <w:r w:rsidR="003E5931" w:rsidRPr="008F0D2E">
        <w:t xml:space="preserve"> </w:t>
      </w:r>
    </w:p>
    <w:p w:rsidR="00CD696E" w:rsidRPr="00CD696E" w:rsidRDefault="00D00F62" w:rsidP="00DD7B70">
      <w:pPr>
        <w:rPr>
          <w:i/>
          <w:iCs/>
          <w:color w:val="404040" w:themeColor="text1" w:themeTint="BF"/>
        </w:rPr>
      </w:pPr>
      <w:r w:rsidRPr="00CD696E">
        <w:rPr>
          <w:rStyle w:val="SubtleEmphasis"/>
        </w:rPr>
        <w:t xml:space="preserve">Theme: </w:t>
      </w:r>
      <w:r w:rsidR="00F856E6" w:rsidRPr="00F856E6">
        <w:rPr>
          <w:rStyle w:val="SubtleEmphasis"/>
        </w:rPr>
        <w:t>Food, Economics and Culture</w:t>
      </w:r>
      <w:r w:rsidR="00CD696E">
        <w:rPr>
          <w:rStyle w:val="SubtleEmphasis"/>
        </w:rPr>
        <w:br/>
      </w:r>
    </w:p>
    <w:p w:rsidR="00F856E6" w:rsidRPr="00122677" w:rsidRDefault="00F856E6" w:rsidP="00F856E6">
      <w:r w:rsidRPr="00992B72">
        <w:rPr>
          <w:b/>
          <w:noProof/>
        </w:rPr>
        <w:t>Tanya</w:t>
      </w:r>
      <w:r w:rsidRPr="00992B72">
        <w:rPr>
          <w:b/>
        </w:rPr>
        <w:t xml:space="preserve"> </w:t>
      </w:r>
      <w:r w:rsidRPr="00992B72">
        <w:rPr>
          <w:b/>
          <w:noProof/>
        </w:rPr>
        <w:t>Beck</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Eating Away at Efficiency: A case study of social welfare losses due to oligopoly in the US food-manufacturing industries</w:t>
      </w:r>
      <w:r w:rsidR="00122677">
        <w:br/>
      </w:r>
      <w:r w:rsidR="00373FA0">
        <w:rPr>
          <w:noProof/>
          <w:sz w:val="20"/>
          <w:szCs w:val="20"/>
        </w:rPr>
        <w:br/>
      </w:r>
      <w:r w:rsidRPr="00122677">
        <w:rPr>
          <w:noProof/>
          <w:sz w:val="20"/>
          <w:szCs w:val="20"/>
        </w:rPr>
        <w:t>Humans must eat. Knowing how our food is produced is thus vital. However, current literature provides a piecemeal understanding at best. Broad, unified narratives of what is happening in the food industry are not easily found. The first contribution of this paper is to collate relevant literature from a variety of areas of knowledge – including economics, natural science and environmental activism – pertaining to global trends in the food industry. One main issue highlighted was that increasing concentration ratios, integration of the supply chain and mergers lead to social welfare loss. Another crucial aspect: that agricultural pesticide use is linked to human health and environmental degradation.</w:t>
      </w:r>
    </w:p>
    <w:p w:rsidR="00F856E6" w:rsidRPr="00122677" w:rsidRDefault="00F856E6" w:rsidP="00F856E6">
      <w:pPr>
        <w:rPr>
          <w:noProof/>
          <w:sz w:val="20"/>
          <w:szCs w:val="20"/>
        </w:rPr>
      </w:pPr>
      <w:r w:rsidRPr="00122677">
        <w:rPr>
          <w:noProof/>
          <w:sz w:val="20"/>
          <w:szCs w:val="20"/>
        </w:rPr>
        <w:lastRenderedPageBreak/>
        <w:t>Through an original narrative linking both aspects, the paper highlights the importance of research in this area and the wide gap that remains to be filled. An empirical case study is chosen to exemplify these issues. Glyphosate is the most used pesticide in the world. It is sold almost exclusively by Monsanto, one of the ‘Big Six’ of the food industry. The paper is based on a US county-based panel dataset collated during the process, including a newly created variable tracking Monsanto presence. The method combines fixed and mixed effects models for robustness. Findings of this preliminary analysis show that Monsanto presence is associated with accelerated pesticide use. Effects of pesticide use on welfare, in particular health, are unclear.</w:t>
      </w:r>
    </w:p>
    <w:p w:rsidR="00F856E6" w:rsidRPr="00122677" w:rsidRDefault="00F856E6" w:rsidP="00F856E6">
      <w:pPr>
        <w:rPr>
          <w:sz w:val="20"/>
          <w:szCs w:val="20"/>
        </w:rPr>
      </w:pPr>
      <w:r w:rsidRPr="00122677">
        <w:rPr>
          <w:noProof/>
          <w:sz w:val="20"/>
          <w:szCs w:val="20"/>
        </w:rPr>
        <w:t>In the conclusion, results are linked to the wider context of the food industry and the literature in order to derive potential environmental implications. No similar studies within the field have been found thus far.</w:t>
      </w:r>
    </w:p>
    <w:p w:rsidR="00F856E6" w:rsidRDefault="00F856E6" w:rsidP="00DD7B70">
      <w:pPr>
        <w:rPr>
          <w:sz w:val="20"/>
        </w:rPr>
      </w:pPr>
    </w:p>
    <w:p w:rsidR="00F856E6" w:rsidRPr="00122677" w:rsidRDefault="00F856E6" w:rsidP="00F856E6">
      <w:r w:rsidRPr="00992B72">
        <w:rPr>
          <w:b/>
          <w:noProof/>
        </w:rPr>
        <w:t>Johanna</w:t>
      </w:r>
      <w:r>
        <w:rPr>
          <w:b/>
          <w:noProof/>
        </w:rPr>
        <w:t xml:space="preserve"> (Hannah)</w:t>
      </w:r>
      <w:r w:rsidRPr="00992B72">
        <w:rPr>
          <w:b/>
        </w:rPr>
        <w:t xml:space="preserve"> </w:t>
      </w:r>
      <w:r w:rsidRPr="00992B72">
        <w:rPr>
          <w:b/>
          <w:noProof/>
        </w:rPr>
        <w:t>Sinclair</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Banquets as Propaganda in the Sixteenth-Century Italian City-States</w:t>
      </w:r>
      <w:r w:rsidR="00122677">
        <w:br/>
      </w:r>
      <w:r w:rsidR="00373FA0">
        <w:rPr>
          <w:noProof/>
          <w:sz w:val="20"/>
          <w:szCs w:val="20"/>
        </w:rPr>
        <w:br/>
      </w:r>
      <w:r w:rsidRPr="00122677">
        <w:rPr>
          <w:noProof/>
          <w:sz w:val="20"/>
          <w:szCs w:val="20"/>
        </w:rPr>
        <w:t>The city-states of northern Italy and their dynastic rulers found themselves in precarious positions during the sixteenth century, caught both geographically and in loyalty between the great European powers. To maintain their sovereignty, these Dukedoms relied on marriage alliances, diplomacy and propaganda to accentuate their own power and status. Banquets became a great tool for all of these methods, and Italy led the way in turning these feasts into elaborate spectacles. Symbolism, both subtle and overt, was used alongside pageantry and decadence to bolster the reputations of the ruler and the state, using the food itself, as well as decor and entertainment.</w:t>
      </w:r>
    </w:p>
    <w:p w:rsidR="00F856E6" w:rsidRPr="00122677" w:rsidRDefault="00F856E6" w:rsidP="00F856E6">
      <w:pPr>
        <w:rPr>
          <w:noProof/>
          <w:sz w:val="20"/>
          <w:szCs w:val="20"/>
        </w:rPr>
      </w:pPr>
      <w:r w:rsidRPr="00122677">
        <w:rPr>
          <w:noProof/>
          <w:sz w:val="20"/>
          <w:szCs w:val="20"/>
        </w:rPr>
        <w:t>The Este of Ferrara were forefront in using banquets to convince the dominant states that they were their equals in power and prestige. A book by their chief steward, Cristoforo di Messisbugo, describes these events in detail. For this study, one typical Este banquet was examined, referencing prior general analysis by historians of food, Renaissance art and the Este family. We can see that in addition to the sheer ostentatiousness of the event, the individual elements were chosen to carefully and subtly emphasise the Este’s strength, wealth and sophistication to their important guests.</w:t>
      </w:r>
    </w:p>
    <w:p w:rsidR="00F856E6" w:rsidRPr="00122677" w:rsidRDefault="00F856E6" w:rsidP="00F856E6">
      <w:pPr>
        <w:rPr>
          <w:sz w:val="20"/>
          <w:szCs w:val="20"/>
        </w:rPr>
      </w:pPr>
      <w:r w:rsidRPr="00122677">
        <w:rPr>
          <w:noProof/>
          <w:sz w:val="20"/>
          <w:szCs w:val="20"/>
        </w:rPr>
        <w:t>This investigation into non-military methods of preserving sovereignty allows us to understand how the city-states’ independence was sustained during the politically unstable and fractious Renaissance. These techniques spread through Europe, aiding in the dissemination of Renaissance art and etiquette, and influenced more famous court culture such as that of Louis XIV of France.</w:t>
      </w:r>
    </w:p>
    <w:p w:rsidR="00122677" w:rsidRPr="00992B72" w:rsidRDefault="00122677" w:rsidP="00122677"/>
    <w:p w:rsidR="00122677" w:rsidRPr="00373FA0" w:rsidRDefault="00122677" w:rsidP="00122677">
      <w:r>
        <w:rPr>
          <w:b/>
        </w:rPr>
        <w:t>Ryoga</w:t>
      </w:r>
      <w:r w:rsidRPr="00992B72">
        <w:rPr>
          <w:b/>
        </w:rPr>
        <w:t xml:space="preserve"> Sugawa</w:t>
      </w:r>
      <w:r w:rsidRPr="00992B72">
        <w:t xml:space="preserve"> (Kyushu Universi</w:t>
      </w:r>
      <w:r w:rsidR="00373FA0">
        <w:t>ty, Japan)</w:t>
      </w:r>
      <w:r w:rsidR="00373FA0">
        <w:br/>
      </w:r>
      <w:r w:rsidRPr="00992B72">
        <w:rPr>
          <w:i/>
        </w:rPr>
        <w:t>Local Revitalisation in Agricultur</w:t>
      </w:r>
      <w:r>
        <w:rPr>
          <w:i/>
        </w:rPr>
        <w:t>e: A focus on wholesale trading</w:t>
      </w:r>
      <w:r w:rsidR="00373FA0">
        <w:rPr>
          <w:i/>
        </w:rPr>
        <w:br/>
      </w:r>
      <w:r>
        <w:rPr>
          <w:i/>
        </w:rPr>
        <w:br/>
      </w:r>
      <w:r w:rsidRPr="00122677">
        <w:rPr>
          <w:sz w:val="20"/>
          <w:szCs w:val="20"/>
        </w:rPr>
        <w:t xml:space="preserve">Japan is known to the world as a developed country, and many tourists come to Japan from around the world. But inside Japan, while industry is growing, most of the lives of farmers are not good. Prefectures (that are far from cities like Tokyo and Osaka) of Japan are almost wholly dependent on agriculture. My town, Miyazaki, is one such example. In my study, I discuss the problems affecting such places and suggest how to solve them, using examples of Miyazaki. One problem is the population of farmers. Agricultural work is harder than an office job: In summer, farmers have to work under the in the blazing heat all day. However, the salary is the same or less than an office job. In addition, income from agriculture is uncertain. It is subject to the weather and the market. If a typhoon comes, the crops may die. If it is too hot or too cold, the crops may die. If people want a certain crop, other crops are not sold. As a result, people move to desk work.  I think if farmers can know the needs of customers and change the shape of production to meet these needs, this would make a difference. The sixth industry connects productions and needs:  Agriculture plus industry plus service. This system increases the efficiency of production as farmers can change their production to meet consumer needs cheaply. The wholesale market sells between farmers or factories and the retail market. Retailers buy produce from farmers or factories and sell this on to market. Thus wholesalers research what people want and sell it </w:t>
      </w:r>
      <w:r w:rsidRPr="00122677">
        <w:rPr>
          <w:sz w:val="20"/>
          <w:szCs w:val="20"/>
        </w:rPr>
        <w:lastRenderedPageBreak/>
        <w:t>efficiently. Like the wholesaler, we should research the needs of the customer and change production to meet these needs.</w:t>
      </w:r>
    </w:p>
    <w:p w:rsidR="00CD696E" w:rsidRDefault="00AA5FE1" w:rsidP="00DD7B70">
      <w:r w:rsidRPr="00AA5FE1">
        <w:rPr>
          <w:sz w:val="20"/>
        </w:rPr>
        <w:t> </w:t>
      </w:r>
    </w:p>
    <w:p w:rsidR="00122677" w:rsidRDefault="00122677">
      <w:pPr>
        <w:pStyle w:val="Heading2"/>
      </w:pPr>
      <w:bookmarkStart w:id="79" w:name="_Toc501711965"/>
      <w:r>
        <w:t>Session 16E (Warwick University &amp; &amp; University of Brawijaya, Indonesia)</w:t>
      </w:r>
      <w:bookmarkEnd w:id="79"/>
    </w:p>
    <w:p w:rsidR="00122677" w:rsidRDefault="00122677" w:rsidP="00122677">
      <w:pPr>
        <w:rPr>
          <w:i/>
        </w:rPr>
      </w:pPr>
      <w:r>
        <w:rPr>
          <w:i/>
        </w:rPr>
        <w:t xml:space="preserve">Theme: </w:t>
      </w:r>
      <w:r w:rsidRPr="00122677">
        <w:rPr>
          <w:i/>
        </w:rPr>
        <w:t>International Development and the Economy</w:t>
      </w:r>
    </w:p>
    <w:p w:rsidR="00BF4AE1" w:rsidRDefault="00BF4AE1" w:rsidP="008628F1">
      <w:pPr>
        <w:rPr>
          <w:b/>
          <w:noProof/>
        </w:rPr>
      </w:pPr>
    </w:p>
    <w:p w:rsidR="00122677" w:rsidRPr="00373FA0" w:rsidRDefault="008628F1" w:rsidP="008628F1">
      <w:pPr>
        <w:rPr>
          <w:b/>
          <w:noProof/>
        </w:rPr>
      </w:pPr>
      <w:r w:rsidRPr="008628F1">
        <w:rPr>
          <w:b/>
          <w:noProof/>
        </w:rPr>
        <w:t>Amanda Chintia Putri Ammal</w:t>
      </w:r>
      <w:r>
        <w:rPr>
          <w:b/>
          <w:noProof/>
        </w:rPr>
        <w:t xml:space="preserve"> </w:t>
      </w:r>
      <w:r w:rsidRPr="00992B72">
        <w:t>(</w:t>
      </w:r>
      <w:r w:rsidRPr="00992B72">
        <w:rPr>
          <w:noProof/>
        </w:rPr>
        <w:t>University of Brawijaya</w:t>
      </w:r>
      <w:r w:rsidRPr="00992B72">
        <w:t xml:space="preserve">, </w:t>
      </w:r>
      <w:r w:rsidRPr="00992B72">
        <w:rPr>
          <w:noProof/>
        </w:rPr>
        <w:t>Indonesia</w:t>
      </w:r>
      <w:r w:rsidRPr="00992B72">
        <w:t>)</w:t>
      </w:r>
      <w:r w:rsidR="00373FA0">
        <w:rPr>
          <w:b/>
          <w:noProof/>
        </w:rPr>
        <w:br/>
      </w:r>
      <w:r w:rsidRPr="008628F1">
        <w:rPr>
          <w:i/>
          <w:noProof/>
        </w:rPr>
        <w:t>The Implementation of Corporate Social Responsibililty at Hospital: A Case Study at Public and Private Hospitals in Malang</w:t>
      </w:r>
      <w:r>
        <w:rPr>
          <w:i/>
          <w:noProof/>
        </w:rPr>
        <w:br/>
      </w:r>
      <w:r w:rsidR="00373FA0">
        <w:rPr>
          <w:noProof/>
        </w:rPr>
        <w:br/>
      </w:r>
      <w:r w:rsidRPr="00373FA0">
        <w:rPr>
          <w:noProof/>
          <w:sz w:val="20"/>
          <w:szCs w:val="20"/>
        </w:rPr>
        <w:t>This study aims to know and understand how the implementation of corporate social responsibility activities in RSUD dr. Saiful Anwar as a public hospital and Lavalette Hospital as a private hospital in Malang. Besides the implementation of Corporate Social Responsibility at both hospitals, this research also aims to determine what are the differences between public hospital and private hospital in carrying out CSR activities. This research is classified as a qualitative study using descriptive approach. Case study is used to answer the problems in this study. Furthermore, the data has collected by using interview, documentations and observation process. The results of this study indicate that both hospitals are implemented social responsibility activities and fulfill the triple bottom line concept. First, although both hospitals do not have specific departments to handle CSR activities, the organization structure of RSUD dr. Saiful Anwar is more formal than Lavalette Hospital. Second, the cost incurred for CSR activities in RSUD dr. Saiful Anwar are structured and targeted on annual budgeting, while in Lavalette Hospital CSR budget is mostly unplanned or unbudgeted. Thirdly, both hospitals have not made social responsibility reports separately on the annual financial report. Lastly, those activities is conducted implicitly in RSUD dr. Saiful Anwar while in Lavalette Hospital is conducted explicitly.</w:t>
      </w:r>
    </w:p>
    <w:p w:rsidR="008628F1" w:rsidRPr="00992B72" w:rsidRDefault="008628F1" w:rsidP="008628F1"/>
    <w:p w:rsidR="00122677" w:rsidRPr="00122677" w:rsidRDefault="00122677" w:rsidP="00122677">
      <w:r w:rsidRPr="00992B72">
        <w:rPr>
          <w:b/>
          <w:noProof/>
        </w:rPr>
        <w:t>Radhika</w:t>
      </w:r>
      <w:r w:rsidRPr="00992B72">
        <w:rPr>
          <w:b/>
        </w:rPr>
        <w:t xml:space="preserve"> </w:t>
      </w:r>
      <w:r w:rsidRPr="00992B72">
        <w:rPr>
          <w:b/>
          <w:noProof/>
        </w:rPr>
        <w:t>Thiagarajan</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The Impact of Brexit on Foreign Banks’ Relationship with the United Kingdom</w:t>
      </w:r>
      <w:r>
        <w:br/>
      </w:r>
      <w:r w:rsidR="00373FA0">
        <w:rPr>
          <w:noProof/>
          <w:sz w:val="20"/>
          <w:szCs w:val="20"/>
        </w:rPr>
        <w:br/>
      </w:r>
      <w:r w:rsidRPr="00122677">
        <w:rPr>
          <w:noProof/>
          <w:sz w:val="20"/>
          <w:szCs w:val="20"/>
        </w:rPr>
        <w:t>One of the biggest challenges the UK faces after the Brexit vote, is the foreign banks’ threat to leave the UK and move their bases to Frankfurt or Dublin. This could bring down job opportunities and economic growth, and involves a complex legal process. For example, HSBC and UBS have already announced that they want to pull out about 2000 jobs from London. By interviewing members of the legal department of foreign banks, this project intends to evaluate the number of job opportunities that would be lost.</w:t>
      </w:r>
    </w:p>
    <w:p w:rsidR="00122677" w:rsidRPr="00122677" w:rsidRDefault="00122677" w:rsidP="00122677">
      <w:pPr>
        <w:rPr>
          <w:noProof/>
          <w:sz w:val="20"/>
          <w:szCs w:val="20"/>
        </w:rPr>
      </w:pPr>
      <w:r w:rsidRPr="00122677">
        <w:rPr>
          <w:noProof/>
          <w:sz w:val="20"/>
          <w:szCs w:val="20"/>
        </w:rPr>
        <w:t>The study also analyses the trade relationship and prospects of the bank with the UK after its relocation, the cost and legal procedures involved, and the financial loss to the UK and the banks. Although there is a chance that many foreign banks may not be willing to leave London, there is a big possibility that the lack of free trade with other EU nations would force them to move to another city.</w:t>
      </w:r>
    </w:p>
    <w:p w:rsidR="00122677" w:rsidRPr="00122677" w:rsidRDefault="00122677" w:rsidP="00122677">
      <w:pPr>
        <w:rPr>
          <w:sz w:val="20"/>
          <w:szCs w:val="20"/>
        </w:rPr>
      </w:pPr>
      <w:r w:rsidRPr="00122677">
        <w:rPr>
          <w:noProof/>
          <w:sz w:val="20"/>
          <w:szCs w:val="20"/>
        </w:rPr>
        <w:t>At the end of this project, there will be more clarity about the reality of the impact of Brexit in the banking sector, thereby reducing speculation. There would also be suggestions of possible solutions to recover lost jobs, monetary loss and any strained relations with the rest of the EU. The project also aims to provide alternative options, such as the Canadian Style Trade deal to prevent the foreign banks from leaving the United Kingdom. This study would be a lucid source for further research in this area.</w:t>
      </w:r>
    </w:p>
    <w:p w:rsidR="00122677" w:rsidRDefault="00122677" w:rsidP="00122677">
      <w:pPr>
        <w:rPr>
          <w:i/>
        </w:rPr>
      </w:pPr>
    </w:p>
    <w:p w:rsidR="00122677" w:rsidRPr="00122677" w:rsidRDefault="00122677" w:rsidP="00122677">
      <w:r w:rsidRPr="00992B72">
        <w:rPr>
          <w:b/>
          <w:noProof/>
        </w:rPr>
        <w:t>Ovidiu-Ionut</w:t>
      </w:r>
      <w:r w:rsidRPr="00992B72">
        <w:rPr>
          <w:b/>
        </w:rPr>
        <w:t xml:space="preserve"> </w:t>
      </w:r>
      <w:r w:rsidRPr="00992B72">
        <w:rPr>
          <w:b/>
          <w:noProof/>
        </w:rPr>
        <w:t>Stefan-Birdea</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The Effect of Income on Risk Preferences in Rural Pakistan: A prospect theory approach</w:t>
      </w:r>
      <w:r>
        <w:br/>
      </w:r>
      <w:r w:rsidR="00373FA0">
        <w:rPr>
          <w:noProof/>
          <w:sz w:val="20"/>
          <w:szCs w:val="20"/>
        </w:rPr>
        <w:br/>
      </w:r>
      <w:r w:rsidRPr="00122677">
        <w:rPr>
          <w:noProof/>
          <w:sz w:val="20"/>
          <w:szCs w:val="20"/>
        </w:rPr>
        <w:lastRenderedPageBreak/>
        <w:t>Risk preferences are a central element of decision-making under uncertainty. They influence what activities an individual decides to take part in, or how much money they invest or save. While classical economic theory assumes individuals to weigh potential wins and losses equally under uncertainty, prospect theory proposes the notion of ‘loss aversion’, namely the case when potential losses play a more important role in the degree of risk aversion than potential gains. According to this theory, individuals might perceive identical situations as more risky than what is predicted by classical assumptions, and could, for example, refuse to make a beneficial investment.</w:t>
      </w:r>
    </w:p>
    <w:p w:rsidR="00122677" w:rsidRPr="00122677" w:rsidRDefault="00122677" w:rsidP="00122677">
      <w:pPr>
        <w:rPr>
          <w:noProof/>
          <w:sz w:val="20"/>
          <w:szCs w:val="20"/>
        </w:rPr>
      </w:pPr>
      <w:r w:rsidRPr="00122677">
        <w:rPr>
          <w:noProof/>
          <w:sz w:val="20"/>
          <w:szCs w:val="20"/>
        </w:rPr>
        <w:t>This paper studies the effect of unexpected variations in income (for example, due to natural disaster or theft) on the risk preferences of cotton farmers in rural Pakistan. Using econometric analysis, it tests both whether income has an effect on risk preferences at all, and whether these preferences correspond to classical theory or to prospect theory. The degree of risk aversion is elicited through a questionnaire where farmers are asked to choose between different scenarios they might be willing to take part in (receiving an uncertain price when selling a product in the market or planting a new variety of cotton).</w:t>
      </w:r>
    </w:p>
    <w:p w:rsidR="00122677" w:rsidRDefault="00122677" w:rsidP="00122677">
      <w:pPr>
        <w:rPr>
          <w:noProof/>
          <w:sz w:val="20"/>
          <w:szCs w:val="20"/>
        </w:rPr>
      </w:pPr>
      <w:r w:rsidRPr="00122677">
        <w:rPr>
          <w:noProof/>
          <w:sz w:val="20"/>
          <w:szCs w:val="20"/>
        </w:rPr>
        <w:t>The results of this study are useful for guiding development policy that involves undertaking risk (microfinance loans, agricultural decisions, government subsidies), as well as in helping understand the preferences of a specific group: low-income individuals.</w:t>
      </w:r>
    </w:p>
    <w:p w:rsidR="00BF4AE1" w:rsidRDefault="00BF4AE1" w:rsidP="00122677">
      <w:pPr>
        <w:rPr>
          <w:sz w:val="20"/>
          <w:szCs w:val="20"/>
        </w:rPr>
      </w:pPr>
    </w:p>
    <w:p w:rsidR="008478BE" w:rsidRDefault="008478BE" w:rsidP="008478BE">
      <w:pPr>
        <w:pStyle w:val="Heading2"/>
      </w:pPr>
      <w:bookmarkStart w:id="80" w:name="_Toc501711304"/>
      <w:bookmarkStart w:id="81" w:name="_Toc501711397"/>
      <w:r>
        <w:t xml:space="preserve">Session 16F (Sussex University &amp; </w:t>
      </w:r>
      <w:r w:rsidRPr="008F0D2E">
        <w:t>N</w:t>
      </w:r>
      <w:r>
        <w:t xml:space="preserve">anyang </w:t>
      </w:r>
      <w:r w:rsidRPr="008F0D2E">
        <w:t>T</w:t>
      </w:r>
      <w:r>
        <w:t xml:space="preserve">echnological </w:t>
      </w:r>
      <w:r w:rsidRPr="008F0D2E">
        <w:t>U</w:t>
      </w:r>
      <w:r>
        <w:t>niversity, Singapore)</w:t>
      </w:r>
      <w:bookmarkEnd w:id="80"/>
      <w:bookmarkEnd w:id="81"/>
    </w:p>
    <w:p w:rsidR="008478BE" w:rsidRDefault="008478BE" w:rsidP="008478BE">
      <w:pPr>
        <w:rPr>
          <w:i/>
        </w:rPr>
      </w:pPr>
      <w:r>
        <w:rPr>
          <w:i/>
        </w:rPr>
        <w:t xml:space="preserve">Theme: </w:t>
      </w:r>
      <w:r w:rsidRPr="00122677">
        <w:rPr>
          <w:i/>
        </w:rPr>
        <w:t>Material &amp; Technology</w:t>
      </w:r>
      <w:r w:rsidR="00A407B0">
        <w:rPr>
          <w:i/>
        </w:rPr>
        <w:br/>
      </w:r>
    </w:p>
    <w:p w:rsidR="008478BE" w:rsidRPr="000240C6" w:rsidRDefault="008478BE" w:rsidP="008478BE">
      <w:r w:rsidRPr="000240C6">
        <w:rPr>
          <w:b/>
        </w:rPr>
        <w:t xml:space="preserve">Jing Yu </w:t>
      </w:r>
      <w:r w:rsidRPr="000240C6">
        <w:t>(Nanyang Technological University, Singapore)</w:t>
      </w:r>
    </w:p>
    <w:p w:rsidR="008478BE" w:rsidRPr="000240C6" w:rsidRDefault="008478BE" w:rsidP="008478BE">
      <w:pPr>
        <w:rPr>
          <w:i/>
        </w:rPr>
      </w:pPr>
      <w:r w:rsidRPr="000240C6">
        <w:rPr>
          <w:i/>
        </w:rPr>
        <w:t>Temperature-Controlled Reversible and Salt-Controlled Recoverable Double-Network Hydrogels with Ultrahigh Mechanical Strength, Stretchable Toughness </w:t>
      </w:r>
    </w:p>
    <w:p w:rsidR="008478BE" w:rsidRDefault="008478BE" w:rsidP="008478BE">
      <w:r w:rsidRPr="000240C6">
        <w:t xml:space="preserve">With PVA and HPC acting as two networks, a temperature-controlled reversible and a salt-controlled recoverable double network hydrogel are successfully synthesized through physical crosslinking. Two approaches to form double network (DN) structure are proposed, and its mechanical and optical properties are also analyzed. A single network (SN) hydrogel is firstly formed by freeze-thaw cycles, and when the temperature is increased above its low critical solution temperature (LCST) which is around 45 </w:t>
      </w:r>
      <w:r w:rsidRPr="000240C6">
        <w:rPr>
          <w:rFonts w:ascii="Cambria Math" w:hAnsi="Cambria Math" w:cs="Cambria Math"/>
        </w:rPr>
        <w:t>℃</w:t>
      </w:r>
      <w:r w:rsidRPr="000240C6">
        <w:t>, the HPC molecule chains start to fold up and entangle to form the second network. This transforms the HPC/PVA SN hydrogel into HPC/PVA DN hydrogel with increased strength and decreased transparency. This is useful in smart window application. Besides temperature, salt soaking technique also works the same way. Its mechanical properties are improved significantly with 1400 KPa tensile strength and 11 MJ/m3 toughness. These properties of hydrogel are characterized by scanning electron microscope (SEM), UV-Vis, tensile and compression tester.  </w:t>
      </w:r>
    </w:p>
    <w:p w:rsidR="008478BE" w:rsidRPr="00992B72" w:rsidRDefault="008478BE" w:rsidP="008478BE"/>
    <w:p w:rsidR="008478BE" w:rsidRPr="00992B72" w:rsidRDefault="008478BE" w:rsidP="008478BE">
      <w:r w:rsidRPr="00992B72">
        <w:rPr>
          <w:b/>
          <w:noProof/>
        </w:rPr>
        <w:t>Haoyang Ryan</w:t>
      </w:r>
      <w:r w:rsidRPr="00992B72">
        <w:rPr>
          <w:b/>
        </w:rPr>
        <w:t xml:space="preserve"> </w:t>
      </w:r>
      <w:r w:rsidRPr="00992B72">
        <w:rPr>
          <w:b/>
          <w:noProof/>
        </w:rPr>
        <w:t>Tang</w:t>
      </w:r>
      <w:r w:rsidRPr="00992B72">
        <w:t xml:space="preserve"> (</w:t>
      </w:r>
      <w:r w:rsidRPr="00992B72">
        <w:rPr>
          <w:noProof/>
        </w:rPr>
        <w:t>Nanyang Technological University (NTU)</w:t>
      </w:r>
      <w:r w:rsidRPr="00992B72">
        <w:t xml:space="preserve">, </w:t>
      </w:r>
      <w:r w:rsidRPr="00992B72">
        <w:rPr>
          <w:noProof/>
        </w:rPr>
        <w:t>Singapore</w:t>
      </w:r>
      <w:r w:rsidRPr="00992B72">
        <w:t>)</w:t>
      </w:r>
    </w:p>
    <w:p w:rsidR="008478BE" w:rsidRPr="00122677" w:rsidRDefault="008478BE" w:rsidP="008478BE">
      <w:pPr>
        <w:rPr>
          <w:sz w:val="20"/>
          <w:szCs w:val="20"/>
        </w:rPr>
      </w:pPr>
      <w:r w:rsidRPr="00992B72">
        <w:rPr>
          <w:i/>
          <w:noProof/>
        </w:rPr>
        <w:t>Design of Autonomous UAV for Emergency Response and Disaster Relief Operations</w:t>
      </w:r>
      <w:r>
        <w:br/>
      </w:r>
      <w:r w:rsidRPr="00122677">
        <w:rPr>
          <w:noProof/>
          <w:sz w:val="20"/>
          <w:szCs w:val="20"/>
        </w:rPr>
        <w:t xml:space="preserve">Unmanned aerial vehicles (UAVs) can be used in a wide range of purposes in emergency response and disaster relief operations such as firefighting and earthquake relief operations. Some possibilities include providing a temporary communication network immediately post disaster, thermal imaging live feed during a firefighting operation, structural analysis of a collapsed building and transporting survival kits in an event of an earthquake. Multiple studies have shown that using UAVs for such operations will greatly increase the efficiency and performance of the rescue personnel and emergency responders. However, currently UAVs are typically used only in surveillance for post-disaster damage evaluation. The key issues resulting in the lack of </w:t>
      </w:r>
      <w:r w:rsidRPr="00122677">
        <w:rPr>
          <w:noProof/>
          <w:sz w:val="20"/>
          <w:szCs w:val="20"/>
        </w:rPr>
        <w:lastRenderedPageBreak/>
        <w:t>UAVs in disaster relief and emergency response operations are identified and analysed. A new design of a multi-purpose, autonomous UAV is proposed. Using a combination of high-efficiency solar cells to harness energy from the environment, helium gas to generate lift and the most weight-efficient rechargeable battery in the market, the flight time of the UAV is significantly increased. To integrate the use of this UAV seamlessly into such operations, a user-friendly, autonomous flight control system building upon the architecture of open-source GPL licensed ArduPilot is also proposed. The materials used in the design features strong, lightweight, flame retardant materials such as graphene foam to meet the demands of disaster and emergency operations environments.</w:t>
      </w:r>
    </w:p>
    <w:p w:rsidR="008478BE" w:rsidRDefault="008478BE" w:rsidP="008478BE">
      <w:pPr>
        <w:rPr>
          <w:b/>
          <w:i/>
        </w:rPr>
      </w:pPr>
    </w:p>
    <w:p w:rsidR="008478BE" w:rsidRPr="00992B72" w:rsidRDefault="008478BE" w:rsidP="008478BE">
      <w:r w:rsidRPr="00992B72">
        <w:rPr>
          <w:b/>
          <w:noProof/>
        </w:rPr>
        <w:t>Will</w:t>
      </w:r>
      <w:r w:rsidRPr="00992B72">
        <w:rPr>
          <w:b/>
        </w:rPr>
        <w:t xml:space="preserve"> </w:t>
      </w:r>
      <w:r w:rsidRPr="00992B72">
        <w:rPr>
          <w:b/>
          <w:noProof/>
        </w:rPr>
        <w:t>Roper</w:t>
      </w:r>
      <w:r w:rsidRPr="00992B72">
        <w:t xml:space="preserve"> (</w:t>
      </w:r>
      <w:r w:rsidRPr="00992B72">
        <w:rPr>
          <w:noProof/>
        </w:rPr>
        <w:t>Sussex University</w:t>
      </w:r>
      <w:r w:rsidRPr="00992B72">
        <w:t xml:space="preserve">, </w:t>
      </w:r>
      <w:r w:rsidRPr="00992B72">
        <w:rPr>
          <w:noProof/>
        </w:rPr>
        <w:t>UK</w:t>
      </w:r>
      <w:r w:rsidRPr="00992B72">
        <w:t>)</w:t>
      </w:r>
    </w:p>
    <w:p w:rsidR="008478BE" w:rsidRPr="00122677" w:rsidRDefault="008478BE" w:rsidP="008478BE">
      <w:r w:rsidRPr="00992B72">
        <w:rPr>
          <w:i/>
          <w:noProof/>
        </w:rPr>
        <w:t>Predictions for the James Webb Space Telescope</w:t>
      </w:r>
      <w:r>
        <w:br/>
      </w:r>
      <w:r w:rsidRPr="00122677">
        <w:rPr>
          <w:noProof/>
          <w:sz w:val="20"/>
          <w:szCs w:val="20"/>
        </w:rPr>
        <w:t>The James Webb Space Telescope (JWST), due to launch in late 2018, is the upcoming replacement to the Hubble Space Telescope. One of the key goals of JWST is to study the first galaxies formed in the early universe. Predictions assert that the first galaxies formed a few hundred million years after the Big Bang, bringing about the end of the cosmological dark ages (the period in the universe’s history when there were no light sources). These galaxies were also responsible for the initial enrichment of the universe with heavier elements, hence, laying the foundations for the formation of rocky terrestrial planets and ultimately life. Using BlueTides, which is a very large galaxy formation simulation, I will make predictions of what JWST will be capable of observing. This is a crucial aspect of planning as it will allow us to better optimise how we use this telescope and other facilities.</w:t>
      </w:r>
    </w:p>
    <w:p w:rsidR="008478BE" w:rsidRDefault="008478BE" w:rsidP="008478BE">
      <w:pPr>
        <w:rPr>
          <w:b/>
          <w:i/>
        </w:rPr>
      </w:pPr>
    </w:p>
    <w:p w:rsidR="008478BE" w:rsidRPr="00992B72" w:rsidRDefault="008478BE" w:rsidP="008478BE">
      <w:r w:rsidRPr="00992B72">
        <w:rPr>
          <w:b/>
          <w:noProof/>
        </w:rPr>
        <w:t>Norbert</w:t>
      </w:r>
      <w:r w:rsidRPr="00992B72">
        <w:rPr>
          <w:b/>
        </w:rPr>
        <w:t xml:space="preserve"> </w:t>
      </w:r>
      <w:r w:rsidRPr="00992B72">
        <w:rPr>
          <w:b/>
          <w:noProof/>
        </w:rPr>
        <w:t>Domcsek</w:t>
      </w:r>
      <w:r w:rsidRPr="00992B72">
        <w:t xml:space="preserve"> (</w:t>
      </w:r>
      <w:r w:rsidRPr="00992B72">
        <w:rPr>
          <w:noProof/>
        </w:rPr>
        <w:t>Sussex University</w:t>
      </w:r>
      <w:r w:rsidRPr="00992B72">
        <w:t xml:space="preserve">, </w:t>
      </w:r>
      <w:r w:rsidRPr="00992B72">
        <w:rPr>
          <w:noProof/>
        </w:rPr>
        <w:t>UK</w:t>
      </w:r>
      <w:r w:rsidRPr="00992B72">
        <w:t>)</w:t>
      </w:r>
    </w:p>
    <w:p w:rsidR="008478BE" w:rsidRPr="00122677" w:rsidRDefault="008478BE" w:rsidP="008478BE">
      <w:r w:rsidRPr="00992B72">
        <w:rPr>
          <w:i/>
          <w:noProof/>
        </w:rPr>
        <w:t>BioMimetic Robot Control Using Arduino and Embedded GPU Accelerators</w:t>
      </w:r>
      <w:r>
        <w:br/>
      </w:r>
      <w:r w:rsidRPr="00122677">
        <w:rPr>
          <w:noProof/>
          <w:sz w:val="20"/>
          <w:szCs w:val="20"/>
        </w:rPr>
        <w:t>One potential application for autonomous robots is exploring hazardous environments – for example in the wake of a natural disaster. Existing systems have to be controlled remotely, which restricts their range and makes them subject to signal loss and latency.</w:t>
      </w:r>
    </w:p>
    <w:p w:rsidR="008478BE" w:rsidRPr="00122677" w:rsidRDefault="008478BE" w:rsidP="008478BE">
      <w:pPr>
        <w:rPr>
          <w:noProof/>
          <w:sz w:val="20"/>
          <w:szCs w:val="20"/>
        </w:rPr>
      </w:pPr>
      <w:r w:rsidRPr="00122677">
        <w:rPr>
          <w:noProof/>
          <w:sz w:val="20"/>
          <w:szCs w:val="20"/>
        </w:rPr>
        <w:t>We present an autonomous wheeled robot – controlled by a spiking neuron network – that combines visual obstacle avoidance with odour-based target acquisition behaviours. We simulate this network using our GeNN simulator running on an NVIDIA Jetson TX1, which enables thousands of neurons to be simulated in real time at very low power. Finally we demonstrate the performance of this system in a range of indoor environments.</w:t>
      </w:r>
    </w:p>
    <w:p w:rsidR="008478BE" w:rsidRPr="00122677" w:rsidRDefault="008478BE" w:rsidP="00122677">
      <w:pPr>
        <w:rPr>
          <w:sz w:val="20"/>
          <w:szCs w:val="20"/>
        </w:rPr>
      </w:pPr>
    </w:p>
    <w:p w:rsidR="00CD696E" w:rsidRPr="008F0D2E" w:rsidRDefault="00CD696E" w:rsidP="00CD696E">
      <w:pPr>
        <w:pStyle w:val="Heading1"/>
        <w:jc w:val="center"/>
      </w:pPr>
      <w:bookmarkStart w:id="82" w:name="_Toc501711966"/>
      <w:r>
        <w:t>SESSION 17</w:t>
      </w:r>
      <w:bookmarkEnd w:id="82"/>
    </w:p>
    <w:p w:rsidR="006564AB" w:rsidRPr="008F0D2E" w:rsidRDefault="003E5931" w:rsidP="00CD696E">
      <w:pPr>
        <w:pStyle w:val="Heading2"/>
      </w:pPr>
      <w:bookmarkStart w:id="83" w:name="_Toc501711967"/>
      <w:r w:rsidRPr="008F0D2E">
        <w:t xml:space="preserve">Session 17A (Warwick </w:t>
      </w:r>
      <w:r w:rsidR="0044138A">
        <w:t>University, UK</w:t>
      </w:r>
      <w:r w:rsidR="00122677">
        <w:t>, University of Leeds, UK</w:t>
      </w:r>
      <w:r w:rsidR="0044138A">
        <w:t xml:space="preserve"> </w:t>
      </w:r>
      <w:r w:rsidRPr="008F0D2E">
        <w:t>&amp; N</w:t>
      </w:r>
      <w:r w:rsidR="0044138A">
        <w:t xml:space="preserve">anyang </w:t>
      </w:r>
      <w:r w:rsidRPr="008F0D2E">
        <w:t>T</w:t>
      </w:r>
      <w:r w:rsidR="0044138A">
        <w:t xml:space="preserve">echnological </w:t>
      </w:r>
      <w:r w:rsidR="00CD696E" w:rsidRPr="008F0D2E">
        <w:t>U</w:t>
      </w:r>
      <w:r w:rsidR="00CD696E">
        <w:t>niversity</w:t>
      </w:r>
      <w:r w:rsidR="0044138A">
        <w:t>, Singapore</w:t>
      </w:r>
      <w:r w:rsidRPr="008F0D2E">
        <w:t>)</w:t>
      </w:r>
      <w:bookmarkEnd w:id="83"/>
      <w:r w:rsidRPr="008F0D2E">
        <w:t xml:space="preserve"> </w:t>
      </w:r>
    </w:p>
    <w:p w:rsidR="003E5931" w:rsidRPr="00CD696E" w:rsidRDefault="00D00F62" w:rsidP="00DD7B70">
      <w:pPr>
        <w:rPr>
          <w:rStyle w:val="SubtleEmphasis"/>
        </w:rPr>
      </w:pPr>
      <w:r w:rsidRPr="00CD696E">
        <w:rPr>
          <w:rStyle w:val="SubtleEmphasis"/>
        </w:rPr>
        <w:t xml:space="preserve">Theme: </w:t>
      </w:r>
      <w:r w:rsidR="00EA19DB" w:rsidRPr="00EA19DB">
        <w:rPr>
          <w:rStyle w:val="SubtleEmphasis"/>
        </w:rPr>
        <w:t>Nanotechnology &amp; Biomolecules</w:t>
      </w:r>
    </w:p>
    <w:p w:rsidR="00EA19DB" w:rsidRPr="00EA19DB" w:rsidRDefault="00CD696E" w:rsidP="00EA19DB">
      <w:r>
        <w:rPr>
          <w:b/>
        </w:rPr>
        <w:br/>
      </w:r>
      <w:r w:rsidR="00EA19DB" w:rsidRPr="00992B72">
        <w:rPr>
          <w:b/>
          <w:noProof/>
        </w:rPr>
        <w:t>Shaminder Kaur</w:t>
      </w:r>
      <w:r w:rsidR="00EA19DB" w:rsidRPr="00992B72">
        <w:rPr>
          <w:b/>
        </w:rPr>
        <w:t xml:space="preserve"> </w:t>
      </w:r>
      <w:r w:rsidR="00EA19DB" w:rsidRPr="00992B72">
        <w:rPr>
          <w:b/>
          <w:noProof/>
        </w:rPr>
        <w:t>Bhandal</w:t>
      </w:r>
      <w:r w:rsidR="00EA19DB" w:rsidRPr="00992B72">
        <w:t xml:space="preserve"> (</w:t>
      </w:r>
      <w:r w:rsidR="00EA19DB" w:rsidRPr="00992B72">
        <w:rPr>
          <w:noProof/>
        </w:rPr>
        <w:t>Leeds University</w:t>
      </w:r>
      <w:r w:rsidR="00EA19DB" w:rsidRPr="00992B72">
        <w:t xml:space="preserve">, </w:t>
      </w:r>
      <w:r w:rsidR="00EA19DB" w:rsidRPr="00992B72">
        <w:rPr>
          <w:noProof/>
        </w:rPr>
        <w:t>UK</w:t>
      </w:r>
      <w:r w:rsidR="00373FA0">
        <w:t>)</w:t>
      </w:r>
      <w:r w:rsidR="00373FA0">
        <w:br/>
      </w:r>
      <w:r w:rsidR="00EA19DB" w:rsidRPr="00992B72">
        <w:rPr>
          <w:i/>
          <w:noProof/>
        </w:rPr>
        <w:t>Analysing and Investigating Breast Tumour Shape and Composition as Indicators for Patient Survival</w:t>
      </w:r>
      <w:r w:rsidR="00EA19DB">
        <w:br/>
      </w:r>
      <w:r w:rsidR="00EA19DB" w:rsidRPr="00EA19DB">
        <w:rPr>
          <w:noProof/>
          <w:sz w:val="20"/>
          <w:szCs w:val="20"/>
        </w:rPr>
        <w:t>Background</w:t>
      </w:r>
    </w:p>
    <w:p w:rsidR="00EA19DB" w:rsidRPr="00EA19DB" w:rsidRDefault="00EA19DB" w:rsidP="00EA19DB">
      <w:pPr>
        <w:rPr>
          <w:noProof/>
          <w:sz w:val="20"/>
          <w:szCs w:val="20"/>
        </w:rPr>
      </w:pPr>
      <w:r w:rsidRPr="00EA19DB">
        <w:rPr>
          <w:noProof/>
          <w:sz w:val="20"/>
          <w:szCs w:val="20"/>
        </w:rPr>
        <w:t>Breast cancer is common and has increasing incidence in the UK. Although mortality rates have fallen, they can be reduced further by improved diagnostic and predictive markers. Current studies indicate a clear correlation between microscopic morphology and behaviour, but are yet to find an efficient and effective method of analysing overall tumour shape to correlate with outcome.</w:t>
      </w:r>
    </w:p>
    <w:p w:rsidR="00EA19DB" w:rsidRPr="00EA19DB" w:rsidRDefault="00EA19DB" w:rsidP="00EA19DB">
      <w:pPr>
        <w:rPr>
          <w:noProof/>
          <w:sz w:val="20"/>
          <w:szCs w:val="20"/>
        </w:rPr>
      </w:pPr>
      <w:r w:rsidRPr="00EA19DB">
        <w:rPr>
          <w:noProof/>
          <w:sz w:val="20"/>
          <w:szCs w:val="20"/>
        </w:rPr>
        <w:lastRenderedPageBreak/>
        <w:t>Aim</w:t>
      </w:r>
    </w:p>
    <w:p w:rsidR="00EA19DB" w:rsidRPr="00EA19DB" w:rsidRDefault="00EA19DB" w:rsidP="00EA19DB">
      <w:pPr>
        <w:rPr>
          <w:noProof/>
          <w:sz w:val="20"/>
          <w:szCs w:val="20"/>
        </w:rPr>
      </w:pPr>
      <w:r w:rsidRPr="00EA19DB">
        <w:rPr>
          <w:noProof/>
          <w:sz w:val="20"/>
          <w:szCs w:val="20"/>
        </w:rPr>
        <w:t>To conduct a pilot evaluation of methodology of analysing tumour shape and investigating any potential relationship between tumour shape and patient outcomes.</w:t>
      </w:r>
    </w:p>
    <w:p w:rsidR="00EA19DB" w:rsidRPr="00EA19DB" w:rsidRDefault="00EA19DB" w:rsidP="00EA19DB">
      <w:pPr>
        <w:rPr>
          <w:noProof/>
          <w:sz w:val="20"/>
          <w:szCs w:val="20"/>
        </w:rPr>
      </w:pPr>
      <w:r w:rsidRPr="00EA19DB">
        <w:rPr>
          <w:noProof/>
          <w:sz w:val="20"/>
          <w:szCs w:val="20"/>
        </w:rPr>
        <w:t>Method</w:t>
      </w:r>
    </w:p>
    <w:p w:rsidR="00EA19DB" w:rsidRPr="00EA19DB" w:rsidRDefault="00EA19DB" w:rsidP="00EA19DB">
      <w:pPr>
        <w:rPr>
          <w:noProof/>
          <w:sz w:val="20"/>
          <w:szCs w:val="20"/>
        </w:rPr>
      </w:pPr>
      <w:r w:rsidRPr="00EA19DB">
        <w:rPr>
          <w:noProof/>
          <w:sz w:val="20"/>
          <w:szCs w:val="20"/>
        </w:rPr>
        <w:t>Archival stained slides from a cohort of 59 breast tumours from woman age 56.4 ± 13.7 years (mean ± standard deviation), spanning across 3 grades with known survival data, were formalin fixed and embedded in paraffin blocks, sectioned, stained using H&amp;E, scanned using Aperio ScanScope to create virtual slides. For each tumour, the area and perimeter were calculated by annotating around the outermost border of the tumour using a stylus, touch screen and ImageScope software. These were then used to calculate an additional metric, A:P, to effectively quantify irregularity. This was then compared to the known survival data of the patients.</w:t>
      </w:r>
    </w:p>
    <w:p w:rsidR="00EA19DB" w:rsidRPr="00EA19DB" w:rsidRDefault="00EA19DB" w:rsidP="00EA19DB">
      <w:pPr>
        <w:rPr>
          <w:noProof/>
          <w:sz w:val="20"/>
          <w:szCs w:val="20"/>
        </w:rPr>
      </w:pPr>
      <w:r w:rsidRPr="00EA19DB">
        <w:rPr>
          <w:noProof/>
          <w:sz w:val="20"/>
          <w:szCs w:val="20"/>
        </w:rPr>
        <w:t>Results</w:t>
      </w:r>
    </w:p>
    <w:p w:rsidR="00EA19DB" w:rsidRPr="00EA19DB" w:rsidRDefault="00EA19DB" w:rsidP="00EA19DB">
      <w:pPr>
        <w:rPr>
          <w:noProof/>
          <w:sz w:val="20"/>
          <w:szCs w:val="20"/>
        </w:rPr>
      </w:pPr>
      <w:r w:rsidRPr="00EA19DB">
        <w:rPr>
          <w:noProof/>
          <w:sz w:val="20"/>
          <w:szCs w:val="20"/>
        </w:rPr>
        <w:t>Currently, grade is used to indicate patient prognosis. A:P against death from breast cancer gave a p-value of 0.006, implying it is a stronger indicator than grade. This suggests rounder tumours are associated with higher grades and higher rates of death from breast cancer.</w:t>
      </w:r>
    </w:p>
    <w:p w:rsidR="00EA19DB" w:rsidRPr="00EA19DB" w:rsidRDefault="00EA19DB" w:rsidP="00EA19DB">
      <w:pPr>
        <w:rPr>
          <w:noProof/>
          <w:sz w:val="20"/>
          <w:szCs w:val="20"/>
        </w:rPr>
      </w:pPr>
      <w:r w:rsidRPr="00EA19DB">
        <w:rPr>
          <w:noProof/>
          <w:sz w:val="20"/>
          <w:szCs w:val="20"/>
        </w:rPr>
        <w:t>Conclusion</w:t>
      </w:r>
    </w:p>
    <w:p w:rsidR="00EA19DB" w:rsidRPr="00EA19DB" w:rsidRDefault="00EA19DB" w:rsidP="00EA19DB">
      <w:pPr>
        <w:rPr>
          <w:noProof/>
          <w:sz w:val="20"/>
          <w:szCs w:val="20"/>
        </w:rPr>
      </w:pPr>
      <w:r w:rsidRPr="00EA19DB">
        <w:rPr>
          <w:noProof/>
          <w:sz w:val="20"/>
          <w:szCs w:val="20"/>
        </w:rPr>
        <w:t>This study has demonstrated a viable method for tumour shape analysis and hinted at its value. Our results have indicated that global tumour shape may be a better indicator of death from breast cancer than grade is. Tumour shape can be used as a potential surrogate for grade and thus grade-equivalent data could be inferred from radiological appearances. Therefore, patients could get an idea of the prognosis of their disease from their first mammogram.</w:t>
      </w:r>
    </w:p>
    <w:p w:rsidR="00EA19DB" w:rsidRPr="00992B72" w:rsidRDefault="00EA19DB" w:rsidP="00EA19DB"/>
    <w:p w:rsidR="00EA19DB" w:rsidRPr="00EA19DB" w:rsidRDefault="00EA19DB" w:rsidP="00EA19DB">
      <w:r w:rsidRPr="00992B72">
        <w:rPr>
          <w:b/>
          <w:noProof/>
        </w:rPr>
        <w:t>Kemal</w:t>
      </w:r>
      <w:r w:rsidRPr="00992B72">
        <w:rPr>
          <w:b/>
        </w:rPr>
        <w:t xml:space="preserve"> </w:t>
      </w:r>
      <w:r w:rsidRPr="00992B72">
        <w:rPr>
          <w:b/>
          <w:noProof/>
        </w:rPr>
        <w:t>Atalar</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 xml:space="preserve">Modelling Electron Transport at Nanoscale: Efficient quantum electronic transport simulations </w:t>
      </w:r>
      <w:r w:rsidR="00373FA0">
        <w:rPr>
          <w:i/>
          <w:noProof/>
        </w:rPr>
        <w:br/>
      </w:r>
      <w:r w:rsidRPr="00992B72">
        <w:rPr>
          <w:i/>
          <w:noProof/>
        </w:rPr>
        <w:t>utilising multi-scale methods</w:t>
      </w:r>
      <w:r w:rsidR="00373FA0">
        <w:rPr>
          <w:i/>
          <w:noProof/>
        </w:rPr>
        <w:br/>
      </w:r>
      <w:r>
        <w:br/>
      </w:r>
      <w:r w:rsidRPr="00EA19DB">
        <w:rPr>
          <w:noProof/>
          <w:sz w:val="20"/>
          <w:szCs w:val="20"/>
        </w:rPr>
        <w:t>With the advancements in nanotechnology, we are able to build nanodevices, which are small, use less power and can incorporate quantum mechanical effects (such as wave-particle duality where electrons also behave like waves in addition to the classical picture of localised particle) which is not possible with macroscale devices. Understanding electronic transport at this scale allows us to engineer these materials in a specific way to obtain desired electronic properties, but the classical transport approach remains inadequate at the nanoscale to simulate these materials as quantum effects start to dominate.</w:t>
      </w:r>
    </w:p>
    <w:p w:rsidR="00EA19DB" w:rsidRPr="00EA19DB" w:rsidRDefault="00EA19DB" w:rsidP="00EA19DB">
      <w:pPr>
        <w:rPr>
          <w:noProof/>
          <w:sz w:val="20"/>
          <w:szCs w:val="20"/>
        </w:rPr>
      </w:pPr>
      <w:r w:rsidRPr="00EA19DB">
        <w:rPr>
          <w:noProof/>
          <w:sz w:val="20"/>
          <w:szCs w:val="20"/>
        </w:rPr>
        <w:t>The Non-Equilibrium Green Function (NEGF) method is one of the most common electronic quantum transport methods employed to investigate the properties of nanomaterials and devices. It can incorporate in a straightforward manner nanoscale geometrical complexities and non-uniformities. However, its high computational cost limits its applicability to the nanometre scale.</w:t>
      </w:r>
    </w:p>
    <w:p w:rsidR="00EA19DB" w:rsidRPr="00EA19DB" w:rsidRDefault="00EA19DB" w:rsidP="00EA19DB">
      <w:pPr>
        <w:rPr>
          <w:sz w:val="20"/>
          <w:szCs w:val="20"/>
        </w:rPr>
      </w:pPr>
      <w:r w:rsidRPr="00EA19DB">
        <w:rPr>
          <w:noProof/>
          <w:sz w:val="20"/>
          <w:szCs w:val="20"/>
        </w:rPr>
        <w:t>This project attempts to develop coarse-graining techniques inspired by the quasi-continuum method to reduce the computational cost of NEGF and expand its capabilities to much larger physical domains. No one has successfully implemented coarse-graining techniques in NEGF formalism before and, if successful, this new technology will have a significant impact in investigating transport properties of a new generation of nanocomposite materials and devices.</w:t>
      </w:r>
    </w:p>
    <w:p w:rsidR="00EA19DB" w:rsidRDefault="00EA19DB" w:rsidP="00EA19DB">
      <w:pPr>
        <w:rPr>
          <w:sz w:val="20"/>
        </w:rPr>
      </w:pPr>
    </w:p>
    <w:p w:rsidR="00EA19DB" w:rsidRPr="00992B72" w:rsidRDefault="00EA19DB" w:rsidP="00EA19DB">
      <w:r w:rsidRPr="00992B72">
        <w:rPr>
          <w:b/>
          <w:noProof/>
        </w:rPr>
        <w:t>Sophia</w:t>
      </w:r>
      <w:r w:rsidRPr="00992B72">
        <w:rPr>
          <w:b/>
        </w:rPr>
        <w:t xml:space="preserve"> </w:t>
      </w:r>
      <w:r w:rsidRPr="00992B72">
        <w:rPr>
          <w:b/>
          <w:noProof/>
        </w:rPr>
        <w:t>Winter</w:t>
      </w:r>
      <w:r w:rsidRPr="00992B72">
        <w:t xml:space="preserve"> (</w:t>
      </w:r>
      <w:r w:rsidRPr="00992B72">
        <w:rPr>
          <w:noProof/>
        </w:rPr>
        <w:t>Leeds University</w:t>
      </w:r>
      <w:r w:rsidRPr="00992B72">
        <w:t xml:space="preserve">, </w:t>
      </w:r>
      <w:r w:rsidRPr="00992B72">
        <w:rPr>
          <w:noProof/>
        </w:rPr>
        <w:t>UK</w:t>
      </w:r>
      <w:r w:rsidRPr="00992B72">
        <w:t>)</w:t>
      </w:r>
    </w:p>
    <w:p w:rsidR="00EA19DB" w:rsidRPr="00EA19DB" w:rsidRDefault="00EA19DB" w:rsidP="00EA19DB">
      <w:r w:rsidRPr="00992B72">
        <w:rPr>
          <w:i/>
          <w:noProof/>
        </w:rPr>
        <w:lastRenderedPageBreak/>
        <w:t>Fluorescent Dye Encapsulation in Lipid-Nanoparticle Toxicology Investigations for Therapeutics</w:t>
      </w:r>
      <w:r>
        <w:br/>
      </w:r>
      <w:r w:rsidR="00373FA0">
        <w:rPr>
          <w:noProof/>
          <w:sz w:val="20"/>
          <w:szCs w:val="20"/>
        </w:rPr>
        <w:br/>
      </w:r>
      <w:r w:rsidRPr="00EA19DB">
        <w:rPr>
          <w:noProof/>
          <w:sz w:val="20"/>
          <w:szCs w:val="20"/>
        </w:rPr>
        <w:t>The versatile properties of nanoparticles have elicited the exciting development of a pioneering field of rapidly accelerating scientific growth. Current literature has demonstrated effective applications of nanoparticles to address numerous contemporary biomedical treatment issues such as drug delivery, antimicrobial action and cancer applications. Our research question asks how strongly nanoparticles interact with lipid membranes – a fundamental biological response.</w:t>
      </w:r>
    </w:p>
    <w:p w:rsidR="00EA19DB" w:rsidRPr="00EA19DB" w:rsidRDefault="00EA19DB" w:rsidP="00EA19DB">
      <w:pPr>
        <w:rPr>
          <w:noProof/>
          <w:sz w:val="20"/>
          <w:szCs w:val="20"/>
        </w:rPr>
      </w:pPr>
      <w:r w:rsidRPr="00EA19DB">
        <w:rPr>
          <w:noProof/>
          <w:sz w:val="20"/>
          <w:szCs w:val="20"/>
        </w:rPr>
        <w:t>To address this, we encapsulate the fluorescent (light-emitting) dye carboxyfluorescein within a lipid membrane and use fluorescence spectroscopy, an analytic technique that measures the intensity of light emission, as the membrane interacts with increasing concentrations of nanoparticles. This tells us about the dosage at which the nanoparticles damage the membrane to cause increased dye leakage. We also use a range of other techniques in conjunction to provide a more thorough and comprehensive toxicological assessment.</w:t>
      </w:r>
    </w:p>
    <w:p w:rsidR="00EA19DB" w:rsidRPr="00EA19DB" w:rsidRDefault="00EA19DB" w:rsidP="00EA19DB">
      <w:pPr>
        <w:rPr>
          <w:noProof/>
          <w:sz w:val="20"/>
          <w:szCs w:val="20"/>
        </w:rPr>
      </w:pPr>
      <w:r w:rsidRPr="00EA19DB">
        <w:rPr>
          <w:noProof/>
          <w:sz w:val="20"/>
          <w:szCs w:val="20"/>
        </w:rPr>
        <w:t>Currently our research indicates the disruption of lipid membranes with increasing nanoparticle concentrations, which suggests impairment of cell activity. These results support the establishment of safety measures to direct new consumer advances, without threatening to instigate long-term consequences such as toxic internal accumulation and organ damage. Overall, our research aims to explore whether nanoparticles pose a significant health hazard, as understanding of potential risks is still unknown.</w:t>
      </w:r>
    </w:p>
    <w:p w:rsidR="00EA19DB" w:rsidRPr="00EA19DB" w:rsidRDefault="00EA19DB" w:rsidP="00EA19DB">
      <w:pPr>
        <w:rPr>
          <w:sz w:val="20"/>
          <w:szCs w:val="20"/>
        </w:rPr>
      </w:pPr>
      <w:r w:rsidRPr="00EA19DB">
        <w:rPr>
          <w:noProof/>
          <w:sz w:val="20"/>
          <w:szCs w:val="20"/>
        </w:rPr>
        <w:t>The future of this research continues to investigate further separate components of the cell membrane in isolation, gradually superimposed to incorporate graduated layers of complexity modelling a natural cell – thereby also potentially leading to a reduction in intensity of reliance on animal testing, which published studies are finding increasingly flawed.</w:t>
      </w:r>
    </w:p>
    <w:p w:rsidR="00F10D8F" w:rsidRPr="008F0D2E" w:rsidRDefault="00F10D8F" w:rsidP="00DD7B70"/>
    <w:p w:rsidR="003E5931" w:rsidRPr="008F0D2E" w:rsidRDefault="003E5931" w:rsidP="00CD696E">
      <w:pPr>
        <w:pStyle w:val="Heading2"/>
      </w:pPr>
      <w:bookmarkStart w:id="84" w:name="_Toc501711968"/>
      <w:r w:rsidRPr="008F0D2E">
        <w:t xml:space="preserve">Session 17B (Warwick </w:t>
      </w:r>
      <w:r w:rsidR="0044138A">
        <w:t xml:space="preserve">University, UK </w:t>
      </w:r>
      <w:r w:rsidRPr="008F0D2E">
        <w:t xml:space="preserve">&amp; </w:t>
      </w:r>
      <w:r w:rsidR="00EA19DB">
        <w:t>University of Brawijaya, Indonesia</w:t>
      </w:r>
      <w:r w:rsidRPr="008F0D2E">
        <w:t>)</w:t>
      </w:r>
      <w:bookmarkEnd w:id="84"/>
      <w:r w:rsidRPr="008F0D2E">
        <w:t xml:space="preserve"> </w:t>
      </w:r>
    </w:p>
    <w:p w:rsidR="003E5931" w:rsidRPr="008F0D2E" w:rsidRDefault="00D00F62" w:rsidP="00DD7B70">
      <w:pPr>
        <w:rPr>
          <w:i/>
        </w:rPr>
      </w:pPr>
      <w:r w:rsidRPr="00D00F62">
        <w:t>Theme:</w:t>
      </w:r>
      <w:r>
        <w:rPr>
          <w:i/>
        </w:rPr>
        <w:t xml:space="preserve"> </w:t>
      </w:r>
      <w:r w:rsidR="00EA19DB" w:rsidRPr="00EA19DB">
        <w:rPr>
          <w:i/>
        </w:rPr>
        <w:t>Global Perspectives</w:t>
      </w:r>
    </w:p>
    <w:p w:rsidR="008628F1" w:rsidRPr="008628F1" w:rsidRDefault="00CD696E" w:rsidP="008628F1">
      <w:r>
        <w:rPr>
          <w:b/>
        </w:rPr>
        <w:br/>
      </w:r>
      <w:r w:rsidR="008628F1" w:rsidRPr="008628F1">
        <w:rPr>
          <w:b/>
          <w:noProof/>
        </w:rPr>
        <w:t>Shabrina Ramadania</w:t>
      </w:r>
      <w:r w:rsidR="008628F1">
        <w:rPr>
          <w:b/>
          <w:noProof/>
        </w:rPr>
        <w:t xml:space="preserve"> </w:t>
      </w:r>
      <w:r w:rsidR="008628F1" w:rsidRPr="00992B72">
        <w:t>(</w:t>
      </w:r>
      <w:r w:rsidR="008628F1" w:rsidRPr="00992B72">
        <w:rPr>
          <w:noProof/>
        </w:rPr>
        <w:t>University of Brawijaya</w:t>
      </w:r>
      <w:r w:rsidR="008628F1" w:rsidRPr="00992B72">
        <w:t xml:space="preserve">, </w:t>
      </w:r>
      <w:r w:rsidR="008628F1" w:rsidRPr="00992B72">
        <w:rPr>
          <w:noProof/>
        </w:rPr>
        <w:t>Indonesia</w:t>
      </w:r>
      <w:r w:rsidR="008628F1" w:rsidRPr="00992B72">
        <w:t>)</w:t>
      </w:r>
      <w:r w:rsidR="008628F1">
        <w:br/>
      </w:r>
      <w:r w:rsidR="008628F1">
        <w:rPr>
          <w:i/>
          <w:noProof/>
        </w:rPr>
        <w:t>The Influence of Perceived Usefulness, Ease of Use, Attitude, Self-efficacy and Subjective Norms Toward Intention to Use Online Shopping.</w:t>
      </w:r>
    </w:p>
    <w:p w:rsidR="00984E8F" w:rsidRPr="008628F1" w:rsidRDefault="008628F1" w:rsidP="008628F1">
      <w:pPr>
        <w:rPr>
          <w:noProof/>
          <w:sz w:val="20"/>
          <w:szCs w:val="20"/>
        </w:rPr>
      </w:pPr>
      <w:r w:rsidRPr="008628F1">
        <w:rPr>
          <w:noProof/>
          <w:sz w:val="20"/>
          <w:szCs w:val="20"/>
        </w:rPr>
        <w:t>Technology development in this era has promoted new innovation in shopping. Nowadays, there is a popular trading forms called online shopping system. Online shopping can become a new medium for buyers and sellers to do a transaction in goods or services. In Indonesia, online shopping has become popular nowdays. This research examines the factors influencing consumers to use online shopping. In this study, the author uses quantitave research method. The data collection method uses questionnaires. The respondents are 300 undergraduate active students from accounting department in University of Brawijaya. The research data and hypothesis are analyzed using structural equation modeling (SEM) based on partial least squares (PLS). These research findings indicate that intention to use online shopping is determined by perceived usefulness, ease of use, attitude, self-efficacy, and subjective norms. All those variables have a positive influence towards intention to use online shopping. It can be concluded that the higher perceived usefulness, ease of use, attitude, self-efficacy, and subjective norms, the higher the effect toward intention to use online shopping.</w:t>
      </w:r>
    </w:p>
    <w:p w:rsidR="008628F1" w:rsidRPr="00EA19DB" w:rsidRDefault="008628F1" w:rsidP="008628F1">
      <w:pPr>
        <w:rPr>
          <w:sz w:val="20"/>
          <w:szCs w:val="20"/>
        </w:rPr>
      </w:pPr>
    </w:p>
    <w:p w:rsidR="00EA19DB" w:rsidRPr="00992B72" w:rsidRDefault="00EA19DB" w:rsidP="00EA19DB">
      <w:r w:rsidRPr="00992B72">
        <w:rPr>
          <w:b/>
          <w:noProof/>
        </w:rPr>
        <w:t>Marco</w:t>
      </w:r>
      <w:r w:rsidRPr="00992B72">
        <w:rPr>
          <w:b/>
        </w:rPr>
        <w:t xml:space="preserve"> </w:t>
      </w:r>
      <w:r w:rsidRPr="00992B72">
        <w:rPr>
          <w:b/>
          <w:noProof/>
        </w:rPr>
        <w:t>Del Vecchio</w:t>
      </w:r>
      <w:r w:rsidRPr="00992B72">
        <w:t xml:space="preserve"> (</w:t>
      </w:r>
      <w:r w:rsidRPr="00992B72">
        <w:rPr>
          <w:noProof/>
        </w:rPr>
        <w:t>University of Warwick</w:t>
      </w:r>
      <w:r w:rsidRPr="00992B72">
        <w:t xml:space="preserve">, </w:t>
      </w:r>
      <w:r w:rsidRPr="00992B72">
        <w:rPr>
          <w:noProof/>
        </w:rPr>
        <w:t>UK</w:t>
      </w:r>
      <w:r w:rsidRPr="00992B72">
        <w:t>)</w:t>
      </w:r>
    </w:p>
    <w:p w:rsidR="00EA19DB" w:rsidRPr="00EA19DB" w:rsidRDefault="00EA19DB" w:rsidP="00EA19DB">
      <w:r w:rsidRPr="00992B72">
        <w:rPr>
          <w:i/>
          <w:noProof/>
        </w:rPr>
        <w:t>The Michelin Curse – Expert judgment versus public opinion</w:t>
      </w:r>
      <w:r>
        <w:br/>
      </w:r>
      <w:r w:rsidR="00373FA0">
        <w:rPr>
          <w:noProof/>
          <w:sz w:val="20"/>
          <w:szCs w:val="20"/>
        </w:rPr>
        <w:br/>
      </w:r>
      <w:r w:rsidRPr="00EA19DB">
        <w:rPr>
          <w:noProof/>
          <w:sz w:val="20"/>
          <w:szCs w:val="20"/>
        </w:rPr>
        <w:t xml:space="preserve">When choosing what restaurant to go to, what book to read or what wine to buy, observable product characteristics are unlikely to provide a complete picture of what to expect. Hence, consumers may rely on </w:t>
      </w:r>
      <w:r w:rsidRPr="00EA19DB">
        <w:rPr>
          <w:noProof/>
          <w:sz w:val="20"/>
          <w:szCs w:val="20"/>
        </w:rPr>
        <w:lastRenderedPageBreak/>
        <w:t>external information sources to make informed decisions about a good or service. Thus, consumers’ demand can be thought of being shaped by two information sources: expert judgment and public opinion. We investigate the difference between these sources using a dataset of restaurants by merging TripAdvisor user-generated content (UGC) in the form of reviews, user profiles and restaurant information with the expert opinion expressed in the Michelin Guide Main Cities of Europe 2016.</w:t>
      </w:r>
    </w:p>
    <w:p w:rsidR="00EA19DB" w:rsidRPr="00EA19DB" w:rsidRDefault="00EA19DB" w:rsidP="00EA19DB">
      <w:pPr>
        <w:rPr>
          <w:sz w:val="20"/>
          <w:szCs w:val="20"/>
        </w:rPr>
      </w:pPr>
      <w:r w:rsidRPr="00EA19DB">
        <w:rPr>
          <w:noProof/>
          <w:sz w:val="20"/>
          <w:szCs w:val="20"/>
        </w:rPr>
        <w:t>By using a mix of statistical methods, machine learning and sentiment analysis, we answer three research questions: (Q1) To what extent does expert judgment, in the form of Michelin stars, and public opinion, in the form of TripAdvisor UGC, differ in the context of restaurants? (A1) One Michelin star restaurants have significantly lower overall, food and atmosphere ratings when compared to two and three Michelin star restaurants. (Q2) What is the most important background information about a TripAdvisor reviewer in explaining the possible differences between eWOM and expert opinion? (A2) The marginal effect of the average restaurant expenditure and number of helpful votes for Michelin related reviews on the difference between the overall rating and the number of Michelin stars is negative, whereas the effect of the number of visits to one, two or three Michelin stars restaurants, level and mean review sentiment is positive. (Q3) Do non-starred restaurants similar to one star Michelin restaurants have a higher TripAdvisor rating? (A3) On average one Michelin star restaurants have a higher mean rating when compared to similar non-starred restaurants. Additionally, we trained an MLP which classifies with 70% precision the rating difference between eWOM and Michelin stars.</w:t>
      </w:r>
    </w:p>
    <w:p w:rsidR="00EA19DB" w:rsidRDefault="00EA19DB" w:rsidP="00EA19DB">
      <w:pPr>
        <w:rPr>
          <w:sz w:val="20"/>
        </w:rPr>
      </w:pPr>
    </w:p>
    <w:p w:rsidR="00EA19DB" w:rsidRPr="00373FA0" w:rsidRDefault="00EA19DB" w:rsidP="00EA19DB">
      <w:pPr>
        <w:rPr>
          <w:b/>
        </w:rPr>
      </w:pPr>
      <w:r w:rsidRPr="00992B72">
        <w:rPr>
          <w:b/>
          <w:noProof/>
        </w:rPr>
        <w:t>Tina</w:t>
      </w:r>
      <w:r w:rsidRPr="00992B72">
        <w:rPr>
          <w:b/>
        </w:rPr>
        <w:t xml:space="preserve"> </w:t>
      </w:r>
      <w:r w:rsidRPr="00992B72">
        <w:rPr>
          <w:b/>
          <w:noProof/>
        </w:rPr>
        <w:t>Kondouli</w:t>
      </w:r>
      <w:r w:rsidRPr="00992B72">
        <w:t xml:space="preserve"> (</w:t>
      </w:r>
      <w:r w:rsidRPr="00992B72">
        <w:rPr>
          <w:noProof/>
        </w:rPr>
        <w:t>University of Warwick</w:t>
      </w:r>
      <w:r w:rsidRPr="00992B72">
        <w:t xml:space="preserve">, </w:t>
      </w:r>
      <w:r w:rsidRPr="00992B72">
        <w:rPr>
          <w:noProof/>
        </w:rPr>
        <w:t>UK</w:t>
      </w:r>
      <w:r w:rsidRPr="00992B72">
        <w:t>)</w:t>
      </w:r>
      <w:r w:rsidRPr="00992B72">
        <w:br/>
      </w:r>
      <w:r w:rsidRPr="00992B72">
        <w:rPr>
          <w:b/>
        </w:rPr>
        <w:t xml:space="preserve">Aris Adamantopoulos </w:t>
      </w:r>
      <w:r w:rsidRPr="00992B72">
        <w:t>(</w:t>
      </w:r>
      <w:r w:rsidRPr="00992B72">
        <w:rPr>
          <w:noProof/>
        </w:rPr>
        <w:t>University of Warwick</w:t>
      </w:r>
      <w:r w:rsidRPr="00992B72">
        <w:t xml:space="preserve">, </w:t>
      </w:r>
      <w:r w:rsidRPr="00992B72">
        <w:rPr>
          <w:noProof/>
        </w:rPr>
        <w:t>UK</w:t>
      </w:r>
      <w:r w:rsidRPr="00992B72">
        <w:t>)</w:t>
      </w:r>
      <w:r w:rsidR="00373FA0">
        <w:rPr>
          <w:b/>
        </w:rPr>
        <w:br/>
      </w:r>
      <w:r w:rsidRPr="00992B72">
        <w:rPr>
          <w:i/>
          <w:noProof/>
        </w:rPr>
        <w:t>Refugees: The truth behind their journey</w:t>
      </w:r>
      <w:r>
        <w:br/>
      </w:r>
      <w:r w:rsidR="00373FA0">
        <w:rPr>
          <w:noProof/>
          <w:sz w:val="20"/>
          <w:szCs w:val="20"/>
        </w:rPr>
        <w:br/>
      </w:r>
      <w:r w:rsidRPr="00EA19DB">
        <w:rPr>
          <w:noProof/>
          <w:sz w:val="20"/>
          <w:szCs w:val="20"/>
        </w:rPr>
        <w:t>This research project, based in Greece, is titled ‘Refugees: The truth behind their journey’. It aims to unravel the important process of asylum application, and the different factors that are considered when granting it. Readers will be interested in the larger work of this project, as the research is grounded on the current topic of the refugee crisis: a controversial humanitarian emergency which has most certainly struck an emotional chord among most readers, who are eager to learn more about this subject.</w:t>
      </w:r>
    </w:p>
    <w:p w:rsidR="00EA19DB" w:rsidRPr="00EA19DB" w:rsidRDefault="00EA19DB" w:rsidP="00EA19DB">
      <w:pPr>
        <w:rPr>
          <w:noProof/>
          <w:sz w:val="20"/>
          <w:szCs w:val="20"/>
        </w:rPr>
      </w:pPr>
      <w:r w:rsidRPr="00EA19DB">
        <w:rPr>
          <w:noProof/>
          <w:sz w:val="20"/>
          <w:szCs w:val="20"/>
        </w:rPr>
        <w:t>Our work seeks to investigate the legal status of refugees in a national (Greek) context as well as under international law. The focus will be whether migrants’ human rights are respected and adhered to according to international law by local and national authorities, NGOs and the general Greek population. We will interview independent asylum lawyers as well as some working under NGOs to draw on their experiences throughout the refugee crisis and we will also interview some refugees and Greek locals to hear their side of the story. The purpose of the investigation will be achieved by gathering evidence from these interviews, our own observations on the field and online databases (such as ESI).</w:t>
      </w:r>
    </w:p>
    <w:p w:rsidR="00EA19DB" w:rsidRPr="00EA19DB" w:rsidRDefault="00EA19DB" w:rsidP="00EA19DB">
      <w:pPr>
        <w:rPr>
          <w:sz w:val="20"/>
          <w:szCs w:val="20"/>
        </w:rPr>
      </w:pPr>
      <w:r w:rsidRPr="00EA19DB">
        <w:rPr>
          <w:noProof/>
          <w:sz w:val="20"/>
          <w:szCs w:val="20"/>
        </w:rPr>
        <w:t>The work will add to the already extensive body of knowledge/research in this area by offering more exposure on the topic, raising the awareness of readers and unravelling the harsh realities of the crisis to people who have not visited these camps.</w:t>
      </w:r>
    </w:p>
    <w:p w:rsidR="00EA19DB" w:rsidRDefault="00EA19DB" w:rsidP="00EA19DB">
      <w:pPr>
        <w:rPr>
          <w:b/>
          <w:noProof/>
        </w:rPr>
      </w:pPr>
    </w:p>
    <w:p w:rsidR="00EA19DB" w:rsidRPr="00EA19DB" w:rsidRDefault="00EA19DB" w:rsidP="00EA19DB">
      <w:r w:rsidRPr="00992B72">
        <w:rPr>
          <w:b/>
          <w:noProof/>
        </w:rPr>
        <w:t>Nikita</w:t>
      </w:r>
      <w:r w:rsidRPr="00992B72">
        <w:rPr>
          <w:b/>
        </w:rPr>
        <w:t xml:space="preserve"> </w:t>
      </w:r>
      <w:r w:rsidRPr="00992B72">
        <w:rPr>
          <w:b/>
          <w:noProof/>
        </w:rPr>
        <w:t>Khodkov</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User-Provided Feedback in Online Markets</w:t>
      </w:r>
      <w:r>
        <w:br/>
      </w:r>
      <w:r w:rsidR="00373FA0">
        <w:rPr>
          <w:noProof/>
          <w:sz w:val="20"/>
          <w:szCs w:val="20"/>
        </w:rPr>
        <w:br/>
      </w:r>
      <w:r w:rsidRPr="00EA19DB">
        <w:rPr>
          <w:noProof/>
          <w:sz w:val="20"/>
          <w:szCs w:val="20"/>
        </w:rPr>
        <w:t>In this day and age, we the consumers have become well accustomed to and even irritated by receiving repetitive emails asking us to provide feedback on our recent eBay purchase or rate our latest Airbnb experience. However, much research advocates that product review functions provide the most powerful marketing tool to influencing the customer decision-making process.</w:t>
      </w:r>
    </w:p>
    <w:p w:rsidR="00EA19DB" w:rsidRPr="00EA19DB" w:rsidRDefault="00EA19DB" w:rsidP="00EA19DB">
      <w:pPr>
        <w:rPr>
          <w:noProof/>
          <w:sz w:val="20"/>
          <w:szCs w:val="20"/>
        </w:rPr>
      </w:pPr>
      <w:r w:rsidRPr="00EA19DB">
        <w:rPr>
          <w:noProof/>
          <w:sz w:val="20"/>
          <w:szCs w:val="20"/>
        </w:rPr>
        <w:lastRenderedPageBreak/>
        <w:t>From an economic standpoint, reviews allow the consumer to overcome information asymmetries. A recent study where respondents had to choose between two online shops – one with positive customer reviews but higher product prices and another with lower prices, but no customer reviews at all – showed online reviews to be significant and, in cases where they are used, fundamental determinants of online transactions. They, therefore, function as choice benchmarks. (Foxal</w:t>
      </w:r>
      <w:r w:rsidRPr="00EA19DB">
        <w:rPr>
          <w:i/>
          <w:noProof/>
          <w:sz w:val="20"/>
          <w:szCs w:val="20"/>
        </w:rPr>
        <w:t xml:space="preserve"> et al.</w:t>
      </w:r>
      <w:r w:rsidRPr="00EA19DB">
        <w:rPr>
          <w:noProof/>
          <w:sz w:val="20"/>
          <w:szCs w:val="20"/>
        </w:rPr>
        <w:t>, 2016).</w:t>
      </w:r>
    </w:p>
    <w:p w:rsidR="00EA19DB" w:rsidRPr="00EA19DB" w:rsidRDefault="00EA19DB" w:rsidP="00EA19DB">
      <w:pPr>
        <w:rPr>
          <w:noProof/>
          <w:sz w:val="20"/>
          <w:szCs w:val="20"/>
        </w:rPr>
      </w:pPr>
      <w:r w:rsidRPr="00EA19DB">
        <w:rPr>
          <w:noProof/>
          <w:sz w:val="20"/>
          <w:szCs w:val="20"/>
        </w:rPr>
        <w:t>Acknowledging the power of reviews in decision-making from previous studies, the research objective is set to investigate the relationship between customer-reviewing systems and cross-price, quantity-demanded elasticities. The study is conducted using quantitative tools such as R and Python, first, to scrape website data (e.g. from Airbnb) and then perform an econometric analysis following the standard methodology of working with cross-sectional data.</w:t>
      </w:r>
    </w:p>
    <w:p w:rsidR="00EA19DB" w:rsidRPr="00EA19DB" w:rsidRDefault="00EA19DB" w:rsidP="00EA19DB">
      <w:pPr>
        <w:rPr>
          <w:sz w:val="20"/>
          <w:szCs w:val="20"/>
        </w:rPr>
      </w:pPr>
      <w:r w:rsidRPr="00EA19DB">
        <w:rPr>
          <w:noProof/>
          <w:sz w:val="20"/>
          <w:szCs w:val="20"/>
        </w:rPr>
        <w:t>While for now we expect the relationship between ranking (marginal benefit) and price (marginal cost) to lie in a broad range somewhere between a weak negative and a strong positive correlation, this study will add to the literature in this relatively new sector of the economy, as well as aiding e-commerce practitioners in influencing customer behaviour.</w:t>
      </w:r>
    </w:p>
    <w:p w:rsidR="00F10D8F" w:rsidRPr="008F0D2E" w:rsidRDefault="00F10D8F" w:rsidP="00DD7B70"/>
    <w:p w:rsidR="003E5931" w:rsidRPr="008F0D2E" w:rsidRDefault="003E5931" w:rsidP="00CD696E">
      <w:pPr>
        <w:pStyle w:val="Heading2"/>
      </w:pPr>
      <w:bookmarkStart w:id="85" w:name="_Toc501711969"/>
      <w:r w:rsidRPr="008F0D2E">
        <w:t>Session 17C (Warwick</w:t>
      </w:r>
      <w:r w:rsidR="00FE5F05">
        <w:t xml:space="preserve"> University, UK</w:t>
      </w:r>
      <w:r w:rsidRPr="008F0D2E">
        <w:t xml:space="preserve"> &amp; N</w:t>
      </w:r>
      <w:r w:rsidR="00FE5F05">
        <w:t xml:space="preserve">anyang </w:t>
      </w:r>
      <w:r w:rsidRPr="008F0D2E">
        <w:t>T</w:t>
      </w:r>
      <w:r w:rsidR="00FE5F05">
        <w:t xml:space="preserve">echnological </w:t>
      </w:r>
      <w:r w:rsidRPr="008F0D2E">
        <w:t>U</w:t>
      </w:r>
      <w:r w:rsidR="00FE5F05">
        <w:t>niversity, Singapore</w:t>
      </w:r>
      <w:r w:rsidRPr="008F0D2E">
        <w:t>)</w:t>
      </w:r>
      <w:bookmarkEnd w:id="85"/>
      <w:r w:rsidRPr="008F0D2E">
        <w:t xml:space="preserve"> </w:t>
      </w:r>
    </w:p>
    <w:p w:rsidR="003E5931" w:rsidRPr="008F0D2E" w:rsidRDefault="00D00F62" w:rsidP="00DD7B70">
      <w:pPr>
        <w:rPr>
          <w:i/>
        </w:rPr>
      </w:pPr>
      <w:r w:rsidRPr="00D00F62">
        <w:t>Theme:</w:t>
      </w:r>
      <w:r>
        <w:rPr>
          <w:i/>
        </w:rPr>
        <w:t xml:space="preserve"> </w:t>
      </w:r>
      <w:r w:rsidR="00416FAA" w:rsidRPr="00416FAA">
        <w:rPr>
          <w:i/>
        </w:rPr>
        <w:t>Advances in Medicine and Technology</w:t>
      </w:r>
    </w:p>
    <w:p w:rsidR="00BF4AE1" w:rsidRDefault="00BF4AE1" w:rsidP="00416FAA">
      <w:pPr>
        <w:rPr>
          <w:b/>
          <w:noProof/>
        </w:rPr>
      </w:pPr>
    </w:p>
    <w:p w:rsidR="00416FAA" w:rsidRPr="00416FAA" w:rsidRDefault="00416FAA" w:rsidP="00416FAA">
      <w:r w:rsidRPr="00992B72">
        <w:rPr>
          <w:b/>
          <w:noProof/>
        </w:rPr>
        <w:t>Reudi Chan Jun</w:t>
      </w:r>
      <w:r w:rsidRPr="00992B72">
        <w:rPr>
          <w:b/>
        </w:rPr>
        <w:t xml:space="preserve"> </w:t>
      </w:r>
      <w:r w:rsidRPr="00992B72">
        <w:rPr>
          <w:b/>
          <w:noProof/>
        </w:rPr>
        <w:t>Wen</w:t>
      </w:r>
      <w:r w:rsidRPr="00992B72">
        <w:t xml:space="preserve"> (</w:t>
      </w:r>
      <w:r w:rsidRPr="00992B72">
        <w:rPr>
          <w:noProof/>
        </w:rPr>
        <w:t>Nanyang Technological University (NTU)</w:t>
      </w:r>
      <w:r w:rsidRPr="00992B72">
        <w:t xml:space="preserve">, </w:t>
      </w:r>
      <w:r w:rsidRPr="00992B72">
        <w:rPr>
          <w:noProof/>
        </w:rPr>
        <w:t>Singapore</w:t>
      </w:r>
      <w:r w:rsidR="00373FA0">
        <w:t>)</w:t>
      </w:r>
      <w:r w:rsidR="00373FA0">
        <w:br/>
      </w:r>
      <w:r w:rsidRPr="00992B72">
        <w:rPr>
          <w:i/>
          <w:noProof/>
        </w:rPr>
        <w:t>Characterisation of the Phospholipidome of Clinical Strains of A. Baumannii and its Relation to Antimicrobial Resistance Phenotypes</w:t>
      </w:r>
      <w:r>
        <w:br/>
      </w:r>
      <w:r w:rsidR="00373FA0">
        <w:rPr>
          <w:noProof/>
          <w:sz w:val="20"/>
          <w:szCs w:val="20"/>
        </w:rPr>
        <w:br/>
      </w:r>
      <w:r w:rsidRPr="00416FAA">
        <w:rPr>
          <w:noProof/>
          <w:sz w:val="20"/>
          <w:szCs w:val="20"/>
        </w:rPr>
        <w:t>Acinetobacter baumannii is an opportunistic pathogen that is responsible for a significant proportion of the burden of nosocomial infections, especially among immunocompromised patients. It has been identified by the World Health Organisation as a critical threat due to its extensive antimicrobial resistance. While the role of phospholipids in antimicrobial resistance, pathogenicity and virulence has been established in various pathogens, this remains poorly understood in A. baumannii infection, in part due to the lack of knowledge of its metabolism and lipid composition. In this pilot study, we aim to characterise the phospholipidome of clinical and laboratory strains of A. baumannii, and investigate whether the high definition biochemical signatures can serve as discriminants of antimicrobial resistance phenotypes. Employing a combinatorial liquid chromatography-mass spectrometry-based approach, we identified for the first time six major phospholipid classes – phosphatidylglycerol, phosphatidylethanolamine, cardiolipin, phosphatidic acid, lyso-cardiolipin and lyso-phosphatidylethanolamine – spanning 75 distinct molecular phospholipid species in the A. baumannii phospholipidome. We also quantified and compared the phospholipidome of clinical strains of varying antimicrobial resistance, and discovered that cardiolipin and lyso-phosphatidylethanolamine are differentially regulated between extensively drug resistant (XDR) strains and non-XDR A. baumannii strains. Based on the comprehensive phospholipidome characterised, we present a preliminary map of the phospholipid metabolic pathway of A. baumannii. Our results represent a concrete foundation for further hypothesis generation, and future application of this work could even extend to clinical application for rapid antimicrobial sensitivity diagnostics based on discriminatory lipid biomarkers.</w:t>
      </w:r>
    </w:p>
    <w:p w:rsidR="00CD696E" w:rsidRDefault="00CD696E" w:rsidP="00DD7B70">
      <w:pPr>
        <w:rPr>
          <w:sz w:val="20"/>
        </w:rPr>
      </w:pPr>
    </w:p>
    <w:p w:rsidR="00416FAA" w:rsidRPr="00416FAA" w:rsidRDefault="00416FAA" w:rsidP="00416FAA">
      <w:r w:rsidRPr="00992B72">
        <w:rPr>
          <w:b/>
          <w:noProof/>
        </w:rPr>
        <w:t>Ze Qing</w:t>
      </w:r>
      <w:r w:rsidRPr="00992B72">
        <w:rPr>
          <w:b/>
        </w:rPr>
        <w:t xml:space="preserve"> </w:t>
      </w:r>
      <w:r w:rsidRPr="00992B72">
        <w:rPr>
          <w:b/>
          <w:noProof/>
        </w:rPr>
        <w:t>Kong</w:t>
      </w:r>
      <w:r w:rsidRPr="00992B72">
        <w:t xml:space="preserve"> (</w:t>
      </w:r>
      <w:r w:rsidRPr="00992B72">
        <w:rPr>
          <w:noProof/>
        </w:rPr>
        <w:t>Nanyang Technological University (NTU)</w:t>
      </w:r>
      <w:r w:rsidRPr="00992B72">
        <w:t xml:space="preserve">, </w:t>
      </w:r>
      <w:r w:rsidRPr="00992B72">
        <w:rPr>
          <w:noProof/>
        </w:rPr>
        <w:t>Singapore</w:t>
      </w:r>
      <w:r w:rsidR="00373FA0">
        <w:t>)</w:t>
      </w:r>
      <w:r w:rsidR="00373FA0">
        <w:br/>
      </w:r>
      <w:r w:rsidRPr="00992B72">
        <w:rPr>
          <w:i/>
          <w:noProof/>
        </w:rPr>
        <w:t>Clinical Survey of Microbial Wound Landscapes</w:t>
      </w:r>
      <w:r>
        <w:br/>
      </w:r>
      <w:r w:rsidR="00373FA0">
        <w:rPr>
          <w:noProof/>
          <w:sz w:val="20"/>
          <w:szCs w:val="20"/>
        </w:rPr>
        <w:br/>
      </w:r>
      <w:r w:rsidRPr="00416FAA">
        <w:rPr>
          <w:noProof/>
          <w:sz w:val="20"/>
          <w:szCs w:val="20"/>
        </w:rPr>
        <w:t xml:space="preserve">Enterococci have emerged as one of the leading causes of hospital-acquired infections. Particularly, complications from Enterococcus faecalis wound infections can result in fatal prognosis of endocarditis and systemic bacteraemia. Early bacterial identification complemented with targeted treatment can improve the </w:t>
      </w:r>
      <w:r w:rsidRPr="00416FAA">
        <w:rPr>
          <w:noProof/>
          <w:sz w:val="20"/>
          <w:szCs w:val="20"/>
        </w:rPr>
        <w:lastRenderedPageBreak/>
        <w:t>recovery of these infected wounds. However, accurate prognosis has been hampered due to a lack of available bacterial genetic information from infected wounds. To address this, 49 E. faecalis wound isolates were identified through species-specific PCR enrichment of the 16S rRNA and superoxide dismutase (sodA) genes and verified by Sanger sequencing. Common virulent traits were identified based on their propensity for biofilm formation, antibiotic resistance and intrinsic proteolytic activity. Our results identified pro-biofilm variants in majority of the E. faecalis isolates, with biofilm formation being enhanced with glucose supplementation. Most strains also demonstrated resistance to gentamicin and susceptibility to daptomycin. Similarities in virulent traits of these isolates were subsequently corroborated with the draft genomes of E. faecalis strains OG1RF and V583. Our results hold significance in establishing correlations between common genetic elements and virulence observed in nosocomial infections. More importantly, these correlations allow the prediction of prevailing infective species attributing to wound chronicity, hence conferring greater accuracy and efficacy in diagnosing and formulating tailored treatment towards E. faecalis infected wounds.</w:t>
      </w:r>
    </w:p>
    <w:p w:rsidR="00CD696E" w:rsidRDefault="00CD696E" w:rsidP="00DD7B70">
      <w:pPr>
        <w:rPr>
          <w:sz w:val="20"/>
        </w:rPr>
      </w:pPr>
    </w:p>
    <w:p w:rsidR="00416FAA" w:rsidRPr="00992B72" w:rsidRDefault="00416FAA" w:rsidP="00416FAA">
      <w:r w:rsidRPr="00992B72">
        <w:rPr>
          <w:b/>
          <w:noProof/>
        </w:rPr>
        <w:t>Hashim</w:t>
      </w:r>
      <w:r w:rsidRPr="00992B72">
        <w:rPr>
          <w:b/>
        </w:rPr>
        <w:t xml:space="preserve"> </w:t>
      </w:r>
      <w:r w:rsidRPr="00992B72">
        <w:rPr>
          <w:b/>
          <w:noProof/>
        </w:rPr>
        <w:t>Amjad</w:t>
      </w:r>
      <w:r w:rsidRPr="00992B72">
        <w:t xml:space="preserve"> (</w:t>
      </w:r>
      <w:r w:rsidRPr="00992B72">
        <w:rPr>
          <w:noProof/>
        </w:rPr>
        <w:t>University of Warwick</w:t>
      </w:r>
      <w:r w:rsidRPr="00992B72">
        <w:t xml:space="preserve">, </w:t>
      </w:r>
      <w:r w:rsidRPr="00992B72">
        <w:rPr>
          <w:noProof/>
        </w:rPr>
        <w:t>UK</w:t>
      </w:r>
      <w:r w:rsidRPr="00992B72">
        <w:t>)</w:t>
      </w:r>
    </w:p>
    <w:p w:rsidR="00416FAA" w:rsidRPr="00416FAA" w:rsidRDefault="00416FAA" w:rsidP="00416FAA">
      <w:r w:rsidRPr="00992B72">
        <w:rPr>
          <w:i/>
          <w:noProof/>
        </w:rPr>
        <w:t>How Can We Optimise the Use of Multiferroic Domain Walls in Oxide Electronics Devices?</w:t>
      </w:r>
      <w:r>
        <w:br/>
      </w:r>
      <w:r w:rsidR="00373FA0">
        <w:rPr>
          <w:noProof/>
          <w:sz w:val="20"/>
          <w:szCs w:val="20"/>
        </w:rPr>
        <w:br/>
      </w:r>
      <w:r w:rsidRPr="00416FAA">
        <w:rPr>
          <w:noProof/>
          <w:sz w:val="20"/>
          <w:szCs w:val="20"/>
        </w:rPr>
        <w:t>Multiferroic materials demonstrate a change in their electric, magnetic and elastic properties when exposed to external influences such as an applied electric/magnetic field. Thin film multiferroics (such as BiFeO3 and BaTiO3) have spatial regions where the electric/magnetic dipole moments of the molecules in that region point in the same direction.</w:t>
      </w:r>
    </w:p>
    <w:p w:rsidR="00416FAA" w:rsidRPr="00416FAA" w:rsidRDefault="00416FAA" w:rsidP="00416FAA">
      <w:pPr>
        <w:rPr>
          <w:noProof/>
          <w:sz w:val="20"/>
          <w:szCs w:val="20"/>
        </w:rPr>
      </w:pPr>
      <w:r w:rsidRPr="00416FAA">
        <w:rPr>
          <w:noProof/>
          <w:sz w:val="20"/>
          <w:szCs w:val="20"/>
        </w:rPr>
        <w:t>Each region is called a domain and at the boundary between neighbouring domains are ‘domain walls’. The domain walls in multiferroic thin films have some different properties (such as their conductivity) to the bulk thin film sample, much of which are still not known. These properties of domain walls allow them to be used as active elements in memory storage devices as well as various sensors. By better understanding the various properties of domain walls in thin film multiferroics, their uses in such devices can continue to be optimised.</w:t>
      </w:r>
    </w:p>
    <w:p w:rsidR="00416FAA" w:rsidRPr="00416FAA" w:rsidRDefault="00416FAA" w:rsidP="00416FAA">
      <w:pPr>
        <w:rPr>
          <w:sz w:val="20"/>
          <w:szCs w:val="20"/>
        </w:rPr>
      </w:pPr>
      <w:r w:rsidRPr="00416FAA">
        <w:rPr>
          <w:noProof/>
          <w:sz w:val="20"/>
          <w:szCs w:val="20"/>
        </w:rPr>
        <w:t>In this study, BaTi03 and BiFeO3 thin films are grown using pulsed laser deposition (PLD) on low lattice mismatch surfaces. Techniques such as atomic force microscopy (AFM) and X-ray diffraction (XRD) are then performed on the thin films to characterise the domain walls (for example, measuring domain wall thickness). Domain walls in multiferroics tend to increase their thickness in response to an applied electric field and the thickening of these domain walls is observed using high-resolution AFM. The usage of PLD and high-resolution probe microscopy in this study aims to further corroborate the knowledge base in domain wall properties that has been developed with similar studies.</w:t>
      </w:r>
    </w:p>
    <w:p w:rsidR="00416FAA" w:rsidRPr="00992B72" w:rsidRDefault="00416FAA" w:rsidP="00416FAA"/>
    <w:p w:rsidR="00416FAA" w:rsidRPr="00992B72" w:rsidRDefault="00416FAA" w:rsidP="00416FAA">
      <w:r w:rsidRPr="00992B72">
        <w:rPr>
          <w:b/>
          <w:noProof/>
        </w:rPr>
        <w:t>Bukunmi</w:t>
      </w:r>
      <w:r w:rsidRPr="00992B72">
        <w:rPr>
          <w:b/>
        </w:rPr>
        <w:t xml:space="preserve"> </w:t>
      </w:r>
      <w:r w:rsidRPr="00992B72">
        <w:rPr>
          <w:b/>
          <w:noProof/>
        </w:rPr>
        <w:t>Omitogun</w:t>
      </w:r>
      <w:r w:rsidRPr="00992B72">
        <w:t xml:space="preserve"> (</w:t>
      </w:r>
      <w:r w:rsidRPr="00992B72">
        <w:rPr>
          <w:noProof/>
        </w:rPr>
        <w:t>University of Warwick</w:t>
      </w:r>
      <w:r w:rsidRPr="00992B72">
        <w:t xml:space="preserve">, </w:t>
      </w:r>
      <w:r w:rsidRPr="00992B72">
        <w:rPr>
          <w:noProof/>
        </w:rPr>
        <w:t>UK</w:t>
      </w:r>
      <w:r w:rsidRPr="00992B72">
        <w:t>)</w:t>
      </w:r>
    </w:p>
    <w:p w:rsidR="00416FAA" w:rsidRPr="00416FAA" w:rsidRDefault="00416FAA" w:rsidP="00416FAA">
      <w:r w:rsidRPr="00992B72">
        <w:rPr>
          <w:i/>
          <w:noProof/>
        </w:rPr>
        <w:t>Ageing, Brain Health and Optogenetics: A new dawn for neurodegenerative diseases?</w:t>
      </w:r>
      <w:r>
        <w:br/>
      </w:r>
      <w:r w:rsidRPr="00416FAA">
        <w:rPr>
          <w:noProof/>
          <w:sz w:val="20"/>
          <w:szCs w:val="20"/>
        </w:rPr>
        <w:t>In the brain, cell replacement is rare, so when brain cells die it can be devastating. Plasticity (the brain’s dynamic ability to alter its organisation and activation) in the adult brain is more restricted than during development, meaning that the brain’s ability to adapt and take over lost function is reduced.</w:t>
      </w:r>
    </w:p>
    <w:p w:rsidR="00416FAA" w:rsidRPr="00416FAA" w:rsidRDefault="00416FAA" w:rsidP="00416FAA">
      <w:pPr>
        <w:rPr>
          <w:noProof/>
          <w:sz w:val="20"/>
          <w:szCs w:val="20"/>
        </w:rPr>
      </w:pPr>
      <w:r w:rsidRPr="00416FAA">
        <w:rPr>
          <w:noProof/>
          <w:sz w:val="20"/>
          <w:szCs w:val="20"/>
        </w:rPr>
        <w:t>As the world’s population ages, major neurodegenerative diseases and cognitive disorders (e.g. Alzheimer’s disease and dementia) are increasingly prevalent. As pressure of these afflictions on the public health sector heightens, so does pressure to discover and hone effective treatment. New approaches are needed more now than ever; burgeoning biotechnology is trying to fill the niche that medicines alone simply cannot – the ability to remove the ‘brakes’ on the adult brain’s plasticity.</w:t>
      </w:r>
    </w:p>
    <w:p w:rsidR="00416FAA" w:rsidRPr="00416FAA" w:rsidRDefault="00416FAA" w:rsidP="00416FAA">
      <w:pPr>
        <w:rPr>
          <w:noProof/>
          <w:sz w:val="20"/>
          <w:szCs w:val="20"/>
        </w:rPr>
      </w:pPr>
      <w:r w:rsidRPr="00416FAA">
        <w:rPr>
          <w:noProof/>
          <w:sz w:val="20"/>
          <w:szCs w:val="20"/>
        </w:rPr>
        <w:t xml:space="preserve">Optogenetics, algae-derived technology, is making waves in neuroscience; it incorporates channelrhodopsin (a light-sensitive protein), allowing scientists to switch neurons on and off using light. Potentially, CRISPR/Cas9 (a </w:t>
      </w:r>
      <w:r w:rsidRPr="00416FAA">
        <w:rPr>
          <w:noProof/>
          <w:sz w:val="20"/>
          <w:szCs w:val="20"/>
        </w:rPr>
        <w:lastRenderedPageBreak/>
        <w:t>genome editing technology that allows permanent modification of an organism’s genes using segments of prokaryotic DNA) can be incorporated to create a highly effective combined therapy.</w:t>
      </w:r>
    </w:p>
    <w:p w:rsidR="00416FAA" w:rsidRPr="00416FAA" w:rsidRDefault="00416FAA" w:rsidP="00416FAA">
      <w:pPr>
        <w:rPr>
          <w:sz w:val="20"/>
          <w:szCs w:val="20"/>
        </w:rPr>
      </w:pPr>
      <w:r w:rsidRPr="00416FAA">
        <w:rPr>
          <w:noProof/>
          <w:sz w:val="20"/>
          <w:szCs w:val="20"/>
        </w:rPr>
        <w:t>This project’s aim is to explore the forefront of treatment for neurodegenerative diseases, comparing pathways and effectiveness. It also aims to discover how degenerated neurons can potentially be permanently renewed with the use of different biotechnologies. Enriching the project will be primary, academic sources (e.g. journals, research papers) and consultations with academics to discuss findings and ideas. I expect to find out more about the scope of research surrounding these diseases and perhaps discover potentially revolutionary, budding treatments.</w:t>
      </w:r>
    </w:p>
    <w:p w:rsidR="00416FAA" w:rsidRDefault="00416FAA" w:rsidP="00DD7B70">
      <w:pPr>
        <w:rPr>
          <w:sz w:val="20"/>
        </w:rPr>
      </w:pPr>
    </w:p>
    <w:p w:rsidR="00416FAA" w:rsidRDefault="00416FAA">
      <w:pPr>
        <w:pStyle w:val="Heading2"/>
      </w:pPr>
      <w:bookmarkStart w:id="86" w:name="_Toc501711970"/>
      <w:r>
        <w:t>Session 17D (Sussex University, UK</w:t>
      </w:r>
      <w:r w:rsidRPr="008F0D2E">
        <w:t xml:space="preserve"> &amp; N</w:t>
      </w:r>
      <w:r>
        <w:t xml:space="preserve">anyang </w:t>
      </w:r>
      <w:r w:rsidRPr="008F0D2E">
        <w:t>T</w:t>
      </w:r>
      <w:r>
        <w:t xml:space="preserve">echnological </w:t>
      </w:r>
      <w:r w:rsidRPr="008F0D2E">
        <w:t>U</w:t>
      </w:r>
      <w:r>
        <w:t>niversity, Singapore</w:t>
      </w:r>
      <w:bookmarkEnd w:id="86"/>
    </w:p>
    <w:p w:rsidR="00416FAA" w:rsidRPr="00416FAA" w:rsidRDefault="00416FAA" w:rsidP="00416FAA">
      <w:pPr>
        <w:rPr>
          <w:i/>
        </w:rPr>
      </w:pPr>
      <w:r>
        <w:rPr>
          <w:i/>
        </w:rPr>
        <w:t xml:space="preserve">Theme: </w:t>
      </w:r>
      <w:r w:rsidRPr="00416FAA">
        <w:rPr>
          <w:i/>
        </w:rPr>
        <w:t>Quantum Systems &amp; Technology</w:t>
      </w:r>
    </w:p>
    <w:p w:rsidR="00BF4AE1" w:rsidRDefault="00BF4AE1" w:rsidP="00416FAA">
      <w:pPr>
        <w:rPr>
          <w:b/>
          <w:noProof/>
        </w:rPr>
      </w:pPr>
    </w:p>
    <w:p w:rsidR="00416FAA" w:rsidRPr="00373FA0" w:rsidRDefault="00416FAA" w:rsidP="00416FAA">
      <w:r w:rsidRPr="00992B72">
        <w:rPr>
          <w:b/>
          <w:noProof/>
        </w:rPr>
        <w:t>Zhenyuan</w:t>
      </w:r>
      <w:r w:rsidRPr="00992B72">
        <w:rPr>
          <w:b/>
        </w:rPr>
        <w:t xml:space="preserve"> </w:t>
      </w:r>
      <w:r w:rsidRPr="00992B72">
        <w:rPr>
          <w:b/>
          <w:noProof/>
        </w:rPr>
        <w:t>Lu</w:t>
      </w:r>
      <w:r w:rsidRPr="00992B72">
        <w:t xml:space="preserve"> (</w:t>
      </w:r>
      <w:r w:rsidRPr="00992B72">
        <w:rPr>
          <w:noProof/>
        </w:rPr>
        <w:t>Nanyang Technological University (NTU)</w:t>
      </w:r>
      <w:r w:rsidRPr="00992B72">
        <w:t xml:space="preserve">, </w:t>
      </w:r>
      <w:r w:rsidRPr="00992B72">
        <w:rPr>
          <w:noProof/>
        </w:rPr>
        <w:t>Singapore</w:t>
      </w:r>
      <w:r w:rsidRPr="00992B72">
        <w:t>)</w:t>
      </w:r>
      <w:r w:rsidR="00373FA0">
        <w:br/>
      </w:r>
      <w:r w:rsidRPr="00992B72">
        <w:rPr>
          <w:i/>
          <w:noProof/>
        </w:rPr>
        <w:t>The Incomplete Inhomogeneous Airy Function</w:t>
      </w:r>
      <w:r>
        <w:br/>
      </w:r>
      <w:r w:rsidRPr="00416FAA">
        <w:rPr>
          <w:noProof/>
          <w:sz w:val="20"/>
          <w:szCs w:val="20"/>
        </w:rPr>
        <w:t>The incomplete inhomogeneous Airy function Hi(z,t) is proved to satisfy the inhomogeneous parabolic partial differential equation (∂^2 w)/(∂z^2 )-wz+∂w/∂t= 1/π. Hi(z,t) – as a newly introduced function generated by adding a variable to the well-known Scorer function Hi(z) – remains most of the properties of Hi(z), yet it is more general and flexible for analysing expansions and asymptotic behaviours. Studies of Hi(z) are helpful in the calculation of scattering and wave forms in a dispersive medium. However, when dealing with complicated cases where more variables are involved, the studies of Hi(z,t) will be applied as modification instead. The research on another highly related incomplete function, the incomplete Airy function g (z,t), was quite complete and there were many articles related to this. In this paper, some important properties of Hi(z,t) such as the integral form, series expansions and asymptotic expansions are discussed. Moreover, by discussing properties under certain conditions, the generalisation of properties of other related functions is also included as an extended application and, sometimes, a support to the validity of our results.</w:t>
      </w:r>
    </w:p>
    <w:p w:rsidR="00BF4AE1" w:rsidRDefault="00BF4AE1" w:rsidP="00416FAA">
      <w:pPr>
        <w:rPr>
          <w:b/>
          <w:noProof/>
        </w:rPr>
      </w:pPr>
    </w:p>
    <w:p w:rsidR="00416FAA" w:rsidRPr="00416FAA" w:rsidRDefault="00416FAA" w:rsidP="00416FAA">
      <w:r w:rsidRPr="00992B72">
        <w:rPr>
          <w:b/>
          <w:noProof/>
        </w:rPr>
        <w:t>Quang Trung</w:t>
      </w:r>
      <w:r w:rsidRPr="00992B72">
        <w:rPr>
          <w:b/>
        </w:rPr>
        <w:t xml:space="preserve"> </w:t>
      </w:r>
      <w:r w:rsidRPr="00992B72">
        <w:rPr>
          <w:b/>
          <w:noProof/>
        </w:rPr>
        <w:t>Ha</w:t>
      </w:r>
      <w:r w:rsidRPr="00992B72">
        <w:t xml:space="preserve"> (</w:t>
      </w:r>
      <w:r w:rsidRPr="00992B72">
        <w:rPr>
          <w:noProof/>
        </w:rPr>
        <w:t>Nanyang Technological University (NTU)</w:t>
      </w:r>
      <w:r w:rsidRPr="00992B72">
        <w:t xml:space="preserve">, </w:t>
      </w:r>
      <w:r w:rsidRPr="00992B72">
        <w:rPr>
          <w:noProof/>
        </w:rPr>
        <w:t>Singapore</w:t>
      </w:r>
      <w:r w:rsidR="00373FA0">
        <w:t>)</w:t>
      </w:r>
      <w:r w:rsidR="00373FA0">
        <w:br/>
      </w:r>
      <w:r w:rsidRPr="00992B72">
        <w:rPr>
          <w:i/>
          <w:noProof/>
        </w:rPr>
        <w:t>Theoretical Study of a Non-Hermitian Quantum Mechanical Lattice</w:t>
      </w:r>
      <w:r w:rsidR="00373FA0">
        <w:br/>
      </w:r>
      <w:r w:rsidR="00373FA0">
        <w:br/>
      </w:r>
      <w:r w:rsidRPr="00416FAA">
        <w:rPr>
          <w:noProof/>
          <w:sz w:val="20"/>
          <w:szCs w:val="20"/>
        </w:rPr>
        <w:t>The mathematical treatment for one-dimensional and two-dimensional lattice systems is presented. The aim of the project is to devise a lattice system that exhibits a certain form of non-Hermitian Hamiltonian at Dirac limit. A two-dimensional face-centred lattice structured was analysed and proposed as a possible model. This model is able to achieve a complex diagonal term with linear dependence on momentum, while the problem remains to obtain a non-zero, real, constant ‘mass’ at the off-diagonal entries of the Hamiltonian.</w:t>
      </w:r>
    </w:p>
    <w:p w:rsidR="00416FAA" w:rsidRDefault="00416FAA" w:rsidP="00416FAA"/>
    <w:p w:rsidR="00416FAA" w:rsidRPr="00416FAA" w:rsidRDefault="00416FAA" w:rsidP="00416FAA">
      <w:r w:rsidRPr="00992B72">
        <w:rPr>
          <w:b/>
          <w:noProof/>
        </w:rPr>
        <w:t>Maddie</w:t>
      </w:r>
      <w:r w:rsidRPr="00992B72">
        <w:rPr>
          <w:b/>
        </w:rPr>
        <w:t xml:space="preserve"> </w:t>
      </w:r>
      <w:r w:rsidRPr="00992B72">
        <w:rPr>
          <w:b/>
          <w:noProof/>
        </w:rPr>
        <w:t>Atkinson</w:t>
      </w:r>
      <w:r w:rsidRPr="00992B72">
        <w:t xml:space="preserve"> (</w:t>
      </w:r>
      <w:r w:rsidRPr="00992B72">
        <w:rPr>
          <w:noProof/>
        </w:rPr>
        <w:t>Sussex University</w:t>
      </w:r>
      <w:r w:rsidRPr="00992B72">
        <w:t xml:space="preserve">, </w:t>
      </w:r>
      <w:r w:rsidRPr="00992B72">
        <w:rPr>
          <w:noProof/>
        </w:rPr>
        <w:t>UK</w:t>
      </w:r>
      <w:r w:rsidR="00373FA0">
        <w:t>)</w:t>
      </w:r>
      <w:r w:rsidR="00373FA0">
        <w:br/>
      </w:r>
      <w:r w:rsidRPr="00992B72">
        <w:rPr>
          <w:i/>
          <w:noProof/>
        </w:rPr>
        <w:t>Exploratory Research into the Effects of Covert Facial Familiarity on Face Recognition</w:t>
      </w:r>
      <w:r>
        <w:br/>
      </w:r>
      <w:r w:rsidR="00373FA0">
        <w:rPr>
          <w:noProof/>
          <w:sz w:val="20"/>
          <w:szCs w:val="20"/>
        </w:rPr>
        <w:br/>
      </w:r>
      <w:r w:rsidRPr="00416FAA">
        <w:rPr>
          <w:noProof/>
          <w:sz w:val="20"/>
          <w:szCs w:val="20"/>
        </w:rPr>
        <w:t xml:space="preserve">How does an unfamiliar face become familiar with repeated exposure? Current theoretical models of face processing (e.g. Valentine’s 1991 multidimensional face space model) suggest that faces are not encoded in isolation, but with respect to existing facial representations. Consequently, most research has confined itself to examining whether faces are encoded with reference to an ‘average’ face. However, in real life, we are often struck by how similar a newly encountered person is to someone whom we already know: Virtually nothing is known about how this is achieved in practice. Presently, participants (N=18) were randomly allocated, and adapted to one of three faces: Benedict Cumberbatch; a morph consisting of 50% Benedict Cumberbatch and 50% of a non-famous face; or a wholly non-famous face. Following adaptation, a random sequence of morphs, </w:t>
      </w:r>
      <w:r w:rsidRPr="00416FAA">
        <w:rPr>
          <w:noProof/>
          <w:sz w:val="20"/>
          <w:szCs w:val="20"/>
        </w:rPr>
        <w:lastRenderedPageBreak/>
        <w:t>blends between a novel photo of Cumberbatch and another male celebrity (Leonardo DiCaprio), were presented. These contained between 38%–62% of Cumberbatch; participants responded by indicating whether they thought each morph looked more like Cumberbatch or more like DiCaprio. The mean number of Cumberbatch responses were plotted against morph level; trends showed a strong adaptation effect for both the Cumberbatch and the Cumberbatch-morph conditions, but a weaker effect for the non-entity condition. These preliminary results imply that the face identity aftereffect (adaptation) is a relatively high-level perceptual effect, given that stimuli containing some degree of resemblance to a familiar face still produced similar levels of adaptation.</w:t>
      </w:r>
    </w:p>
    <w:p w:rsidR="00416FAA" w:rsidRDefault="00416FAA">
      <w:pPr>
        <w:pStyle w:val="Heading2"/>
      </w:pPr>
      <w:bookmarkStart w:id="87" w:name="_Toc501711971"/>
      <w:r>
        <w:t>Session 17.1 (Sussex University, UK</w:t>
      </w:r>
      <w:r w:rsidRPr="008F0D2E">
        <w:t xml:space="preserve"> &amp; N</w:t>
      </w:r>
      <w:r>
        <w:t xml:space="preserve">anyang </w:t>
      </w:r>
      <w:r w:rsidRPr="008F0D2E">
        <w:t>T</w:t>
      </w:r>
      <w:r>
        <w:t xml:space="preserve">echnological </w:t>
      </w:r>
      <w:r w:rsidRPr="008F0D2E">
        <w:t>U</w:t>
      </w:r>
      <w:r>
        <w:t>niversity, Singapore)</w:t>
      </w:r>
      <w:bookmarkEnd w:id="87"/>
    </w:p>
    <w:p w:rsidR="00416FAA" w:rsidRDefault="00416FAA" w:rsidP="00416FAA">
      <w:pPr>
        <w:rPr>
          <w:i/>
        </w:rPr>
      </w:pPr>
      <w:r>
        <w:rPr>
          <w:i/>
        </w:rPr>
        <w:t xml:space="preserve">Theme: </w:t>
      </w:r>
      <w:r w:rsidRPr="00416FAA">
        <w:rPr>
          <w:i/>
        </w:rPr>
        <w:t>Identity</w:t>
      </w:r>
    </w:p>
    <w:p w:rsidR="00A407B0" w:rsidRDefault="00A407B0" w:rsidP="00416FAA">
      <w:pPr>
        <w:rPr>
          <w:i/>
        </w:rPr>
      </w:pPr>
    </w:p>
    <w:p w:rsidR="005C4296" w:rsidRPr="00373FA0" w:rsidRDefault="005C4296" w:rsidP="005C4296">
      <w:r w:rsidRPr="00992B72">
        <w:rPr>
          <w:b/>
          <w:noProof/>
        </w:rPr>
        <w:t>Shannon</w:t>
      </w:r>
      <w:r w:rsidRPr="00992B72">
        <w:rPr>
          <w:b/>
        </w:rPr>
        <w:t xml:space="preserve"> </w:t>
      </w:r>
      <w:r w:rsidRPr="00992B72">
        <w:rPr>
          <w:b/>
          <w:noProof/>
        </w:rPr>
        <w:t>Gaffney</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Feminist Nationalism in 20th Century Ireland</w:t>
      </w:r>
      <w:r>
        <w:br/>
      </w:r>
      <w:r w:rsidR="00373FA0">
        <w:rPr>
          <w:noProof/>
          <w:sz w:val="20"/>
          <w:szCs w:val="20"/>
        </w:rPr>
        <w:br/>
      </w:r>
      <w:r w:rsidRPr="005C4296">
        <w:rPr>
          <w:noProof/>
          <w:sz w:val="20"/>
          <w:szCs w:val="20"/>
        </w:rPr>
        <w:t>The Irish War of Independence was an outgrowth of built up dissatisfaction and tension, associated largely with religious and economic divides. The strong Catholic identity the Irish felt heavily influenced the nationalism and a call for independence that began to grow in the late nineteenth century. What blossomed simultaneously was the first wave feminist movement for political, economic and social independence.</w:t>
      </w:r>
      <w:r w:rsidR="00373FA0">
        <w:rPr>
          <w:noProof/>
          <w:sz w:val="20"/>
          <w:szCs w:val="20"/>
        </w:rPr>
        <w:br/>
      </w:r>
      <w:r w:rsidRPr="005C4296">
        <w:rPr>
          <w:noProof/>
          <w:sz w:val="20"/>
          <w:szCs w:val="20"/>
        </w:rPr>
        <w:t>However, the emphasis on the political movement made it hard for feminism to be treated with equal importance. The influence of Catholicism and nationalism led to a backlash against the feminist movement, which attempted to reinforce traditional gender roles and delayed women’s ability to gain new rights.</w:t>
      </w:r>
    </w:p>
    <w:p w:rsidR="005C4296" w:rsidRPr="005C4296" w:rsidRDefault="005C4296" w:rsidP="005C4296">
      <w:pPr>
        <w:rPr>
          <w:sz w:val="20"/>
          <w:szCs w:val="20"/>
        </w:rPr>
      </w:pPr>
      <w:r w:rsidRPr="005C4296">
        <w:rPr>
          <w:noProof/>
          <w:sz w:val="20"/>
          <w:szCs w:val="20"/>
        </w:rPr>
        <w:t xml:space="preserve">My research examines challenges to the Irish feminist movement by investigating the change in women’s conditions from 1864 to 1935, including women’s increased access to more educational, economic and political opportunities, and the abolition of the practice of coverture (the practice by which women lose their legal identities upon marriage). I used sources from the </w:t>
      </w:r>
      <w:r w:rsidRPr="005C4296">
        <w:rPr>
          <w:i/>
          <w:noProof/>
          <w:sz w:val="20"/>
          <w:szCs w:val="20"/>
        </w:rPr>
        <w:t>Feminist Review, The Irish Times</w:t>
      </w:r>
      <w:r w:rsidRPr="005C4296">
        <w:rPr>
          <w:noProof/>
          <w:sz w:val="20"/>
          <w:szCs w:val="20"/>
        </w:rPr>
        <w:t>, Anna Haslam’s Minute Book and The National Archives of Ireland. I concluded that, although women looked to utilise the nationalist movement to make a stronger case for gender equality by linking gender to culture, the heavily religious society was not initially inclined to allow women to break free of traditional roles. The Irish feminist movement shows the diversified experiences of women, as well as the reality of governments supporting the fight for gender equality when it is politically convenient.</w:t>
      </w:r>
    </w:p>
    <w:p w:rsidR="00416FAA" w:rsidRDefault="00416FAA" w:rsidP="00416FAA">
      <w:pPr>
        <w:rPr>
          <w:b/>
          <w:i/>
        </w:rPr>
      </w:pPr>
    </w:p>
    <w:p w:rsidR="005C4296" w:rsidRPr="00992B72" w:rsidRDefault="005C4296" w:rsidP="005C4296">
      <w:r w:rsidRPr="00992B72">
        <w:rPr>
          <w:b/>
          <w:noProof/>
        </w:rPr>
        <w:t>Olivia</w:t>
      </w:r>
      <w:r w:rsidRPr="00992B72">
        <w:rPr>
          <w:b/>
        </w:rPr>
        <w:t xml:space="preserve"> </w:t>
      </w:r>
      <w:r w:rsidRPr="00992B72">
        <w:rPr>
          <w:b/>
          <w:noProof/>
        </w:rPr>
        <w:t>Sztanga</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A Solution for Only a Few: Comparing US policy in the cases of Soviet and Syrian refugees</w:t>
      </w:r>
      <w:r>
        <w:br/>
      </w:r>
      <w:r w:rsidR="00373FA0">
        <w:rPr>
          <w:noProof/>
          <w:sz w:val="20"/>
          <w:szCs w:val="20"/>
        </w:rPr>
        <w:br/>
      </w:r>
      <w:r w:rsidRPr="005C4296">
        <w:rPr>
          <w:noProof/>
          <w:sz w:val="20"/>
          <w:szCs w:val="20"/>
        </w:rPr>
        <w:t xml:space="preserve">Few scholars discuss the legal divide between the Legislative and Executive branches over US refugee policy. Those that do generally agree that although Congress has largely taken hold of immigration policy, refugee policy still overwhelmingly falls within the President’s domain (Legomsky, 1995; Zucker and Zucker, 1987). This view is a reflection of the early laws that first established the process for setting US refugee policy. In granting great discretion to the Executive branch, these laws also created a foreign policy bias to refugee admissions in which the United States was more likely to admit refugees from enemy states. In recent years, both the Executive dominance and foreign policy bias in refugee admissions seems to have subsided. For instance, although the United States is similarly as preoccupied with countering terrorism as it once was with containing communism, Syrian refugees have not been met with the same generous admissions policies as Soviet refugees during the Cold War. Thus, this study utilises a comparison between Syrian refugees from 2011 to 2016 and Soviet refugees from 1988 to 1993 to investigate the current legal divide between the Legislative and Executive branches and their respective powers over setting refugee admissions numbers. Using data from legislative histories and transcripts, this paper illustrates that the Legislative branch might have developed </w:t>
      </w:r>
      <w:r w:rsidRPr="005C4296">
        <w:rPr>
          <w:noProof/>
          <w:sz w:val="20"/>
          <w:szCs w:val="20"/>
        </w:rPr>
        <w:lastRenderedPageBreak/>
        <w:t>strategies to influence refugee admissions numbers outside of the official refugee policy-setting process established in law.</w:t>
      </w:r>
    </w:p>
    <w:p w:rsidR="005C4296" w:rsidRPr="00416FAA" w:rsidRDefault="005C4296" w:rsidP="00416FAA">
      <w:pPr>
        <w:rPr>
          <w:b/>
          <w:i/>
        </w:rPr>
      </w:pPr>
    </w:p>
    <w:p w:rsidR="005C4296" w:rsidRDefault="005C4296">
      <w:pPr>
        <w:pStyle w:val="Heading2"/>
      </w:pPr>
      <w:bookmarkStart w:id="88" w:name="_Toc501711972"/>
      <w:r>
        <w:t>Session 17E (Warwick University, UK)</w:t>
      </w:r>
      <w:bookmarkEnd w:id="88"/>
    </w:p>
    <w:p w:rsidR="005C4296" w:rsidRDefault="005C4296" w:rsidP="005C4296">
      <w:pPr>
        <w:rPr>
          <w:i/>
        </w:rPr>
      </w:pPr>
      <w:r>
        <w:rPr>
          <w:i/>
        </w:rPr>
        <w:t>Theme: Warwick Brexit Group</w:t>
      </w:r>
    </w:p>
    <w:p w:rsidR="00BF4AE1" w:rsidRDefault="00BF4AE1" w:rsidP="005C4296">
      <w:pPr>
        <w:rPr>
          <w:b/>
          <w:noProof/>
        </w:rPr>
      </w:pPr>
    </w:p>
    <w:p w:rsidR="005C4296" w:rsidRPr="00992B72" w:rsidRDefault="005C4296" w:rsidP="005C4296">
      <w:r w:rsidRPr="00992B72">
        <w:rPr>
          <w:b/>
          <w:noProof/>
        </w:rPr>
        <w:t>Ian</w:t>
      </w:r>
      <w:r w:rsidRPr="00992B72">
        <w:rPr>
          <w:b/>
        </w:rPr>
        <w:t xml:space="preserve"> </w:t>
      </w:r>
      <w:r w:rsidRPr="00992B72">
        <w:rPr>
          <w:b/>
          <w:noProof/>
        </w:rPr>
        <w:t>Caistor-Parker</w:t>
      </w:r>
      <w:r w:rsidRPr="00992B72">
        <w:t xml:space="preserve"> (</w:t>
      </w:r>
      <w:r w:rsidRPr="00992B72">
        <w:rPr>
          <w:noProof/>
        </w:rPr>
        <w:t>University of Warwick</w:t>
      </w:r>
      <w:r w:rsidRPr="00992B72">
        <w:t xml:space="preserve">, </w:t>
      </w:r>
      <w:r w:rsidRPr="00992B72">
        <w:rPr>
          <w:noProof/>
        </w:rPr>
        <w:t>UK</w:t>
      </w:r>
      <w:r w:rsidRPr="00992B72">
        <w:t>)</w:t>
      </w:r>
    </w:p>
    <w:p w:rsidR="005C4296" w:rsidRPr="00992B72" w:rsidRDefault="005C4296" w:rsidP="005C4296">
      <w:r w:rsidRPr="00992B72">
        <w:rPr>
          <w:i/>
          <w:noProof/>
        </w:rPr>
        <w:t>Warwick Student Brexit Laboratory</w:t>
      </w:r>
    </w:p>
    <w:p w:rsidR="005C4296" w:rsidRPr="00BF4AE1" w:rsidRDefault="005C4296" w:rsidP="005C4296">
      <w:pPr>
        <w:rPr>
          <w:noProof/>
          <w:sz w:val="20"/>
          <w:szCs w:val="20"/>
        </w:rPr>
      </w:pPr>
      <w:r w:rsidRPr="00BF4AE1">
        <w:rPr>
          <w:noProof/>
          <w:sz w:val="20"/>
          <w:szCs w:val="20"/>
        </w:rPr>
        <w:t>We are a group of students participating in research projects addressing various questions around the theme of youth and the EU referendum. Our research forms part of a broader project designed to empower the voice of the under-represented youth through the formation of a Brexit laboratory that will draw upon contributions from students and staff at Warwick and other institutions.</w:t>
      </w:r>
    </w:p>
    <w:p w:rsidR="005C4296" w:rsidRPr="00BF4AE1" w:rsidRDefault="005C4296" w:rsidP="005C4296">
      <w:pPr>
        <w:rPr>
          <w:noProof/>
          <w:sz w:val="20"/>
          <w:szCs w:val="20"/>
        </w:rPr>
      </w:pPr>
      <w:r w:rsidRPr="00BF4AE1">
        <w:rPr>
          <w:noProof/>
          <w:sz w:val="20"/>
          <w:szCs w:val="20"/>
        </w:rPr>
        <w:t>The 16–25 demographic overwhelmingly voted to remain in the European Union and must deal with the impact of Brexit for the longest. However, in most academic and political discourse, this group and their views are marginalised or overlooked entirely. As Brexit is a nascent issue, the contemporary academic debate is inevitably limited. Our research draws upon a mixture of quantitative analysis including BES, YouGov, IpsosMori, the Hansard Society and Demos, as well as on our own primary interviews and questionnaires. Our main research focus is on the qualitative data obtained, using statistics to contextualise this material.</w:t>
      </w:r>
    </w:p>
    <w:p w:rsidR="005C4296" w:rsidRPr="00BF4AE1" w:rsidRDefault="005C4296" w:rsidP="005C4296">
      <w:pPr>
        <w:rPr>
          <w:sz w:val="20"/>
          <w:szCs w:val="20"/>
        </w:rPr>
      </w:pPr>
      <w:r w:rsidRPr="00BF4AE1">
        <w:rPr>
          <w:noProof/>
          <w:sz w:val="20"/>
          <w:szCs w:val="20"/>
        </w:rPr>
        <w:t>The sources and methodology adopted by the laboratory participants vary widely depending upon the project, this variety should allow us to produce a rich and engaging study that will stimulate discussion and spark interest. The key themes of the five research projects are: How to understand and interpret young people’s political apathy? How non-British, European students think about Brexit? How are information dissemination and the new media related to voting patterns? What do we know of the effect of identity politics on the opinions of young people (aged 16–19) in secondary education?</w:t>
      </w:r>
    </w:p>
    <w:p w:rsidR="00BF4AE1" w:rsidRDefault="00BF4AE1" w:rsidP="00CD696E">
      <w:pPr>
        <w:pStyle w:val="Heading1"/>
        <w:jc w:val="center"/>
      </w:pPr>
    </w:p>
    <w:p w:rsidR="00CD696E" w:rsidRPr="00FE5F05" w:rsidRDefault="00CD696E" w:rsidP="00CD696E">
      <w:pPr>
        <w:pStyle w:val="Heading1"/>
        <w:jc w:val="center"/>
      </w:pPr>
      <w:bookmarkStart w:id="89" w:name="_Toc501711973"/>
      <w:r>
        <w:t>SESSION 18</w:t>
      </w:r>
      <w:bookmarkEnd w:id="89"/>
    </w:p>
    <w:p w:rsidR="003E5931" w:rsidRPr="008F0D2E" w:rsidRDefault="00CD696E" w:rsidP="00CD696E">
      <w:pPr>
        <w:pStyle w:val="Heading2"/>
      </w:pPr>
      <w:r>
        <w:br/>
      </w:r>
      <w:bookmarkStart w:id="90" w:name="_Toc501711974"/>
      <w:r w:rsidR="003E5931" w:rsidRPr="008F0D2E">
        <w:t>Session 18A (Warwick</w:t>
      </w:r>
      <w:r w:rsidR="00AD6B97">
        <w:t xml:space="preserve"> University, UK</w:t>
      </w:r>
      <w:r w:rsidR="005C4296">
        <w:t xml:space="preserve">, </w:t>
      </w:r>
      <w:r w:rsidR="00AD6B97">
        <w:t xml:space="preserve">Monash University, </w:t>
      </w:r>
      <w:r w:rsidR="003E5931" w:rsidRPr="008F0D2E">
        <w:t>South Africa</w:t>
      </w:r>
      <w:r w:rsidR="005C4296">
        <w:t xml:space="preserve"> &amp; Sussex University, UK</w:t>
      </w:r>
      <w:r w:rsidR="003E5931" w:rsidRPr="008F0D2E">
        <w:t>)</w:t>
      </w:r>
      <w:bookmarkEnd w:id="90"/>
      <w:r w:rsidR="003E5931" w:rsidRPr="008F0D2E">
        <w:t xml:space="preserve"> </w:t>
      </w:r>
    </w:p>
    <w:p w:rsidR="003E5931" w:rsidRDefault="00D00F62" w:rsidP="00DD7B70">
      <w:pPr>
        <w:rPr>
          <w:i/>
        </w:rPr>
      </w:pPr>
      <w:r w:rsidRPr="00D00F62">
        <w:t>Theme:</w:t>
      </w:r>
      <w:r>
        <w:rPr>
          <w:i/>
        </w:rPr>
        <w:t xml:space="preserve"> </w:t>
      </w:r>
      <w:r w:rsidR="005C4296" w:rsidRPr="005C4296">
        <w:rPr>
          <w:i/>
        </w:rPr>
        <w:t>Society and Well Being</w:t>
      </w:r>
    </w:p>
    <w:p w:rsidR="00BF4AE1" w:rsidRDefault="00BF4AE1" w:rsidP="005C4296">
      <w:pPr>
        <w:rPr>
          <w:b/>
          <w:noProof/>
        </w:rPr>
      </w:pPr>
    </w:p>
    <w:p w:rsidR="005C4296" w:rsidRPr="00373FA0" w:rsidRDefault="005C4296" w:rsidP="005C4296">
      <w:r w:rsidRPr="00992B72">
        <w:rPr>
          <w:b/>
          <w:noProof/>
        </w:rPr>
        <w:t>Hannah</w:t>
      </w:r>
      <w:r w:rsidRPr="00992B72">
        <w:rPr>
          <w:b/>
        </w:rPr>
        <w:t xml:space="preserve"> </w:t>
      </w:r>
      <w:r w:rsidRPr="00992B72">
        <w:rPr>
          <w:b/>
          <w:noProof/>
        </w:rPr>
        <w:t>Miles Jewell</w:t>
      </w:r>
      <w:r w:rsidRPr="00992B72">
        <w:t xml:space="preserve"> (</w:t>
      </w:r>
      <w:r w:rsidRPr="00992B72">
        <w:rPr>
          <w:noProof/>
        </w:rPr>
        <w:t>Sussex University</w:t>
      </w:r>
      <w:r w:rsidRPr="00992B72">
        <w:t xml:space="preserve">, </w:t>
      </w:r>
      <w:r w:rsidRPr="00992B72">
        <w:rPr>
          <w:noProof/>
        </w:rPr>
        <w:t>UK</w:t>
      </w:r>
      <w:r w:rsidR="00373FA0">
        <w:t>)</w:t>
      </w:r>
      <w:r w:rsidR="00373FA0">
        <w:br/>
      </w:r>
      <w:r w:rsidRPr="00992B72">
        <w:rPr>
          <w:i/>
          <w:noProof/>
        </w:rPr>
        <w:t>‘The Sort of Thing That Can’t be Spoken of’: Dissociation in Hemingway’s narrative style</w:t>
      </w:r>
      <w:r>
        <w:br/>
      </w:r>
      <w:r w:rsidR="00373FA0">
        <w:rPr>
          <w:noProof/>
          <w:sz w:val="20"/>
          <w:szCs w:val="20"/>
        </w:rPr>
        <w:br/>
      </w:r>
      <w:r w:rsidRPr="005C4296">
        <w:rPr>
          <w:noProof/>
          <w:sz w:val="20"/>
          <w:szCs w:val="20"/>
        </w:rPr>
        <w:t xml:space="preserve">The American writer Ernest Hemingway (1899–1961) is regarded as a key figure of the Modernist movement, with his distinctive writing style emulated to this day. My research aims to explore how psychological dissociation (detachment from ones surroundings, identity, etc.) informs and appears in his famous narrative style. The phenomenon of dissociation as a response to trauma is well documented, as is Hemingway’s role as a writer of traumatic war narratives. What has not been explored in detail, however, is dissociation as a fundamental aspect of his narrative style, not just in his explicit war stories, but throughout his entire body of work. I have combined textual analysis and critical readings with contemporary trauma research to explore </w:t>
      </w:r>
      <w:r w:rsidRPr="005C4296">
        <w:rPr>
          <w:noProof/>
          <w:sz w:val="20"/>
          <w:szCs w:val="20"/>
        </w:rPr>
        <w:lastRenderedPageBreak/>
        <w:t>how Hemingway communicates what is, for many, uncommunicable. I give particular focus to his ‘Chapters’, Cubist-like vignettes first published in 1924, which, compared to much of his later work, remain relatively unexamined. I also make reference to numerous other texts of his, both published and unpublished, to demonstrate the pervasiveness of what I call his dissociative style.</w:t>
      </w:r>
    </w:p>
    <w:p w:rsidR="005C4296" w:rsidRPr="005C4296" w:rsidRDefault="005C4296" w:rsidP="005C4296">
      <w:pPr>
        <w:rPr>
          <w:sz w:val="20"/>
          <w:szCs w:val="20"/>
        </w:rPr>
      </w:pPr>
      <w:r w:rsidRPr="005C4296">
        <w:rPr>
          <w:noProof/>
          <w:sz w:val="20"/>
          <w:szCs w:val="20"/>
        </w:rPr>
        <w:t>The challenge of narrating trauma, of speaking the unspeakable, is not just a literary one – it is one affecting all areas of society. Many believe that finding a way to communicate and make sense of trauma is key to allowing survivors to heal. Therefore, it is essential that we understand the mechanisms – such as fragmented, repetitive imagery, dreamlike imagery, narrowing of focus and shifting, inconsistent adverbs – used by writers who manage to convey traumatic experience. Understanding Hemingway’s dissociative style illuminates a powerful device for communicating trauma, which may be used by other survivors seeking to process their own experiences.</w:t>
      </w:r>
    </w:p>
    <w:p w:rsidR="005C4296" w:rsidRDefault="005C4296" w:rsidP="00DD7B70">
      <w:pPr>
        <w:rPr>
          <w:i/>
        </w:rPr>
      </w:pPr>
    </w:p>
    <w:p w:rsidR="00373FA0" w:rsidRDefault="005C4296" w:rsidP="005C4296">
      <w:pPr>
        <w:rPr>
          <w:noProof/>
          <w:sz w:val="20"/>
          <w:szCs w:val="20"/>
        </w:rPr>
      </w:pPr>
      <w:r w:rsidRPr="00992B72">
        <w:rPr>
          <w:b/>
          <w:noProof/>
        </w:rPr>
        <w:t>Aadya</w:t>
      </w:r>
      <w:r w:rsidRPr="00992B72">
        <w:rPr>
          <w:b/>
        </w:rPr>
        <w:t xml:space="preserve"> </w:t>
      </w:r>
      <w:r w:rsidRPr="00992B72">
        <w:rPr>
          <w:b/>
          <w:noProof/>
        </w:rPr>
        <w:t>R</w:t>
      </w:r>
      <w:r>
        <w:rPr>
          <w:b/>
          <w:noProof/>
        </w:rPr>
        <w:t>a</w:t>
      </w:r>
      <w:r w:rsidRPr="00992B72">
        <w:rPr>
          <w:b/>
          <w:noProof/>
        </w:rPr>
        <w:t>athore</w:t>
      </w:r>
      <w:r w:rsidRPr="00992B72">
        <w:t xml:space="preserve"> (</w:t>
      </w:r>
      <w:r w:rsidRPr="00992B72">
        <w:rPr>
          <w:noProof/>
        </w:rPr>
        <w:t>University of Warwick</w:t>
      </w:r>
      <w:r w:rsidRPr="00992B72">
        <w:t xml:space="preserve">, </w:t>
      </w:r>
      <w:r w:rsidRPr="00992B72">
        <w:rPr>
          <w:noProof/>
        </w:rPr>
        <w:t>UK</w:t>
      </w:r>
      <w:r w:rsidRPr="00992B72">
        <w:t>)</w:t>
      </w:r>
      <w:r w:rsidR="00373FA0">
        <w:br/>
      </w:r>
      <w:r w:rsidRPr="00992B72">
        <w:rPr>
          <w:i/>
          <w:noProof/>
        </w:rPr>
        <w:t>The Political History of ISIS – The leaders, the origins and its ties to Middle-Eastern Politics</w:t>
      </w:r>
      <w:r>
        <w:br/>
      </w:r>
    </w:p>
    <w:p w:rsidR="005C4296" w:rsidRPr="005C4296" w:rsidRDefault="005C4296" w:rsidP="005C4296">
      <w:r w:rsidRPr="005C4296">
        <w:rPr>
          <w:noProof/>
          <w:sz w:val="20"/>
          <w:szCs w:val="20"/>
        </w:rPr>
        <w:t>ISIS is a heated topic of debate in today’s time. Its emergence has always been a mystery to most people across the world. ISIS is a recent phenomenon, and thus has limited literature and articles. As such, no one knows yet what exactly led to its formation or who heads it. People speculate and do have a rough idea about the causes and reasons for its emergence but it is still not clandestine, and we still do NOT have a clear answer. In this research, we looked at various authors who have given a detailed description about ISIS in their books.</w:t>
      </w:r>
    </w:p>
    <w:p w:rsidR="005C4296" w:rsidRPr="005C4296" w:rsidRDefault="005C4296" w:rsidP="005C4296">
      <w:pPr>
        <w:rPr>
          <w:noProof/>
          <w:sz w:val="20"/>
          <w:szCs w:val="20"/>
        </w:rPr>
      </w:pPr>
      <w:r w:rsidRPr="005C4296">
        <w:rPr>
          <w:noProof/>
          <w:sz w:val="20"/>
          <w:szCs w:val="20"/>
        </w:rPr>
        <w:t>As a methodology, we used different journals, and the resulting conclusion will be based on the tallying the results in each journal. It provided clarity and gave us the idea of why and how ISIS emerged in the Middle-Eastern countries only. The uniqueness of this research lies in the fact that we tried to find reasons and answers to the questions that every students wants.</w:t>
      </w:r>
    </w:p>
    <w:p w:rsidR="005C4296" w:rsidRPr="005C4296" w:rsidRDefault="005C4296" w:rsidP="005C4296">
      <w:pPr>
        <w:rPr>
          <w:sz w:val="20"/>
          <w:szCs w:val="20"/>
        </w:rPr>
      </w:pPr>
      <w:r w:rsidRPr="005C4296">
        <w:rPr>
          <w:noProof/>
          <w:sz w:val="20"/>
          <w:szCs w:val="20"/>
        </w:rPr>
        <w:t>We often hear in the news about the ongoing Syrian refugee crisis, but the fact that ISIS is one of the major reasons behind it is ignored most of the time. In this research, we have tried to come up with the answers to questions that are raised by students – and this makes the research study distinct from the previous studies about the emergence of the Islamic States.</w:t>
      </w:r>
    </w:p>
    <w:p w:rsidR="005C4296" w:rsidRDefault="005C4296" w:rsidP="00DD7B70">
      <w:pPr>
        <w:rPr>
          <w:i/>
        </w:rPr>
      </w:pPr>
    </w:p>
    <w:p w:rsidR="005C4296" w:rsidRPr="005C4296" w:rsidRDefault="005C4296" w:rsidP="005C4296">
      <w:r w:rsidRPr="00992B72">
        <w:rPr>
          <w:b/>
          <w:noProof/>
        </w:rPr>
        <w:t>Charlotte</w:t>
      </w:r>
      <w:r w:rsidRPr="00992B72">
        <w:rPr>
          <w:b/>
        </w:rPr>
        <w:t xml:space="preserve"> </w:t>
      </w:r>
      <w:r w:rsidRPr="00992B72">
        <w:rPr>
          <w:b/>
          <w:noProof/>
        </w:rPr>
        <w:t>Beesley</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Mental Illness, or Crime? Media representations of paedophilia as an offence and a mental disorder</w:t>
      </w:r>
      <w:r w:rsidR="000649EB">
        <w:rPr>
          <w:i/>
          <w:noProof/>
        </w:rPr>
        <w:br/>
      </w:r>
      <w:r>
        <w:br/>
      </w:r>
      <w:r w:rsidRPr="005C4296">
        <w:rPr>
          <w:noProof/>
          <w:sz w:val="20"/>
          <w:szCs w:val="20"/>
        </w:rPr>
        <w:t>Paedophilia is reported on by the media mainly as an issue of criminality, yet when considering its definition as a psychiatric disorder, this changes. This research examines how and why reports on paedophilia often disregard its classification as a mental disorder, and hence aims to positively change the currently damaging social perceptions towards non-offending paedophiles.</w:t>
      </w:r>
    </w:p>
    <w:p w:rsidR="005C4296" w:rsidRPr="005C4296" w:rsidRDefault="005C4296" w:rsidP="005C4296">
      <w:pPr>
        <w:rPr>
          <w:noProof/>
          <w:sz w:val="20"/>
          <w:szCs w:val="20"/>
        </w:rPr>
      </w:pPr>
      <w:r w:rsidRPr="005C4296">
        <w:rPr>
          <w:noProof/>
          <w:sz w:val="20"/>
          <w:szCs w:val="20"/>
        </w:rPr>
        <w:t>The number of publications denoting paedophilia and related crimes such as Samantha Ashenden’s, ‘Policing Perversion: The contemporary governance of Paedophilia’ (2002) escalated around the turn of the twenty-first century. However, the topic remains of prominence to a contemporary society, reflected by Kieran McCartan’s, ‘Media Constructions of, and Reactions to, Paedophilia in Society’, (2014).</w:t>
      </w:r>
    </w:p>
    <w:p w:rsidR="005C4296" w:rsidRPr="005C4296" w:rsidRDefault="005C4296" w:rsidP="005C4296">
      <w:pPr>
        <w:rPr>
          <w:noProof/>
          <w:sz w:val="20"/>
          <w:szCs w:val="20"/>
        </w:rPr>
      </w:pPr>
      <w:r w:rsidRPr="005C4296">
        <w:rPr>
          <w:noProof/>
          <w:sz w:val="20"/>
          <w:szCs w:val="20"/>
        </w:rPr>
        <w:t>Two Louis Theroux documentaries are examined as a sample of modern media, (‘A Place for Paedophiles’, 2009; ‘Among the Sex Offenders’, 2014) in order to deduce how broadcasters portray issues. Results show a solely ‘negative’ portrayal of paedophilia, forming a damaging and biased belief about the issue. Such a media portrayal of this topic has also been shown to influence the way the public respond to this issue in their daily lives, and provoke a damaging effect on the health of non-offenders.</w:t>
      </w:r>
    </w:p>
    <w:p w:rsidR="005C4296" w:rsidRPr="005C4296" w:rsidRDefault="005C4296" w:rsidP="005C4296">
      <w:pPr>
        <w:rPr>
          <w:sz w:val="20"/>
          <w:szCs w:val="20"/>
        </w:rPr>
      </w:pPr>
      <w:r w:rsidRPr="005C4296">
        <w:rPr>
          <w:noProof/>
          <w:sz w:val="20"/>
          <w:szCs w:val="20"/>
        </w:rPr>
        <w:lastRenderedPageBreak/>
        <w:t>This paper argues that an explanation for this damage is due to a lack of public recognition of paedophilia as a psychiatric disorder, rather than a crime. From here therefore, it is important for researchers in this field to examine what the next steps in developments of social policy should be. Furthermore, as issues around criminal acts associated with paedophilia have been shown to cause moral panic within society, there is a necessity for wider social change. Hence, this research highlights both: a greater need for focus on protocols for treating sexual offenders after they have been released from prison, and the need for addressing the aims of sentencing.</w:t>
      </w:r>
    </w:p>
    <w:p w:rsidR="005C4296" w:rsidRDefault="005C4296" w:rsidP="00DD7B70">
      <w:pPr>
        <w:rPr>
          <w:i/>
        </w:rPr>
      </w:pPr>
    </w:p>
    <w:p w:rsidR="005C4296" w:rsidRPr="00373FA0" w:rsidRDefault="005C4296" w:rsidP="005C4296">
      <w:r w:rsidRPr="00992B72">
        <w:rPr>
          <w:b/>
          <w:noProof/>
        </w:rPr>
        <w:t>Janell Joy</w:t>
      </w:r>
      <w:r w:rsidRPr="00992B72">
        <w:rPr>
          <w:b/>
        </w:rPr>
        <w:t xml:space="preserve"> </w:t>
      </w:r>
      <w:r w:rsidRPr="00992B72">
        <w:rPr>
          <w:b/>
          <w:noProof/>
        </w:rPr>
        <w:t>Matthews</w:t>
      </w:r>
      <w:r w:rsidRPr="00992B72">
        <w:t xml:space="preserve"> (</w:t>
      </w:r>
      <w:r w:rsidRPr="00992B72">
        <w:rPr>
          <w:noProof/>
        </w:rPr>
        <w:t>Monash University</w:t>
      </w:r>
      <w:r w:rsidRPr="00992B72">
        <w:t xml:space="preserve">, </w:t>
      </w:r>
      <w:r w:rsidRPr="00992B72">
        <w:rPr>
          <w:noProof/>
        </w:rPr>
        <w:t>South Africa</w:t>
      </w:r>
      <w:r w:rsidR="00373FA0">
        <w:t>)</w:t>
      </w:r>
      <w:r w:rsidR="00373FA0">
        <w:br/>
      </w:r>
      <w:r w:rsidRPr="00992B72">
        <w:rPr>
          <w:i/>
          <w:noProof/>
        </w:rPr>
        <w:t>The Framework that Upholds the Glass Ceiling: A mechanistic inquisitory review and a possible solution for societal interventions addressing gender inequality</w:t>
      </w:r>
      <w:r w:rsidR="000649EB">
        <w:rPr>
          <w:i/>
          <w:noProof/>
        </w:rPr>
        <w:br/>
      </w:r>
      <w:r>
        <w:br/>
      </w:r>
      <w:r w:rsidRPr="005C4296">
        <w:rPr>
          <w:noProof/>
          <w:sz w:val="20"/>
          <w:szCs w:val="20"/>
        </w:rPr>
        <w:t>In the WHO’s 2016 SDG Progress report, Gender Inequality (GI) was identified as an SDG problem that not only impacted the mental and physical health of women but also their agency in terms of economic contribution and GDP. The World Bank’s review of interventions addressing Violence Against Women (VAW) concluded that community and societal interventions were relatively ineffective. Application of Bandura’s Social Cognitive Theory (SCT) to the topic of GI and VAW provides vital insight into why interventions are ineffective, especially with regards to experiences and fear of abuse. By performing a meta-analysis drawing on past qualitative and quantitative research of the topic, this research seeks to establish: 1) How VAW and GI cultural norms can be viewed as the product of underlying societal values and beliefs; 2) How SCT can be used as a framework to understand underlying mechanisms that can perpetuate or prevent these cultural norms; and the key focus is 3) How workplace interventions could serve as a solution to impacting cultural norms of GI (and indirectly, VAW) in a positive manner in the future. Workplace interventions can be better incentivised with research showing gender equality’s association with improved economic performance. These interventions are also a less intrusive way to modify the environment in the attempt to impact societal cognition of women and men alike. This impact would, in theory, alter behaviour so that women begin to model increased positive economic agency, as based on the SCT – which could affect overall agency of women.</w:t>
      </w:r>
    </w:p>
    <w:p w:rsidR="00F10D8F" w:rsidRPr="008F0D2E" w:rsidRDefault="00F10D8F" w:rsidP="00DD7B70"/>
    <w:p w:rsidR="00F10D8F" w:rsidRPr="008F0D2E" w:rsidRDefault="003E5931" w:rsidP="00CD696E">
      <w:pPr>
        <w:pStyle w:val="Heading2"/>
      </w:pPr>
      <w:bookmarkStart w:id="91" w:name="_Toc501711975"/>
      <w:r w:rsidRPr="008F0D2E">
        <w:t>Session 18B (</w:t>
      </w:r>
      <w:r w:rsidR="005C4296">
        <w:t xml:space="preserve">University of Leeds, UK, </w:t>
      </w:r>
      <w:r w:rsidR="0052486D" w:rsidRPr="008F0D2E">
        <w:t>Baruch</w:t>
      </w:r>
      <w:r w:rsidR="0052486D">
        <w:t xml:space="preserve"> College, City University of New York, USA with an audience from Warwick University, UK</w:t>
      </w:r>
      <w:r w:rsidRPr="008F0D2E">
        <w:t>)</w:t>
      </w:r>
      <w:bookmarkEnd w:id="91"/>
    </w:p>
    <w:p w:rsidR="00F10D8F" w:rsidRPr="008F0D2E" w:rsidRDefault="00D00F62" w:rsidP="00DD7B70">
      <w:pPr>
        <w:rPr>
          <w:i/>
        </w:rPr>
      </w:pPr>
      <w:r w:rsidRPr="00D00F62">
        <w:t>Theme:</w:t>
      </w:r>
      <w:r>
        <w:rPr>
          <w:i/>
        </w:rPr>
        <w:t xml:space="preserve"> </w:t>
      </w:r>
      <w:r w:rsidR="0052486D" w:rsidRPr="0052486D">
        <w:rPr>
          <w:i/>
        </w:rPr>
        <w:t>Medicine &amp; the Brain</w:t>
      </w:r>
    </w:p>
    <w:p w:rsidR="00CD696E" w:rsidRDefault="00CD696E" w:rsidP="00DD7B70">
      <w:pPr>
        <w:rPr>
          <w:b/>
        </w:rPr>
      </w:pPr>
    </w:p>
    <w:p w:rsidR="0052486D" w:rsidRPr="00992B72" w:rsidRDefault="0052486D" w:rsidP="0052486D">
      <w:r w:rsidRPr="00992B72">
        <w:rPr>
          <w:b/>
          <w:noProof/>
        </w:rPr>
        <w:t>Thuong</w:t>
      </w:r>
      <w:r w:rsidRPr="00992B72">
        <w:rPr>
          <w:b/>
        </w:rPr>
        <w:t xml:space="preserve"> </w:t>
      </w:r>
      <w:r w:rsidRPr="00992B72">
        <w:rPr>
          <w:b/>
          <w:noProof/>
        </w:rPr>
        <w:t>Tran</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Exploring The Tautomerization of Thiotropocin and TDA: Discovering the most feasible step in the conversion process</w:t>
      </w:r>
    </w:p>
    <w:p w:rsidR="0052486D" w:rsidRPr="001145DF" w:rsidRDefault="0052486D" w:rsidP="0052486D">
      <w:pPr>
        <w:rPr>
          <w:sz w:val="20"/>
          <w:szCs w:val="20"/>
        </w:rPr>
      </w:pPr>
      <w:r w:rsidRPr="001145DF">
        <w:rPr>
          <w:noProof/>
          <w:sz w:val="20"/>
          <w:szCs w:val="20"/>
        </w:rPr>
        <w:t xml:space="preserve">Thiotropocin, tropodithietic acid (TDA), and thiosulfenin make up a group of antibiotic compounds, derived from the </w:t>
      </w:r>
      <w:r w:rsidRPr="001145DF">
        <w:rPr>
          <w:i/>
          <w:noProof/>
          <w:sz w:val="20"/>
          <w:szCs w:val="20"/>
        </w:rPr>
        <w:t>P. gallaeciensis</w:t>
      </w:r>
      <w:r w:rsidRPr="001145DF">
        <w:rPr>
          <w:noProof/>
          <w:sz w:val="20"/>
          <w:szCs w:val="20"/>
        </w:rPr>
        <w:t xml:space="preserve"> bacteria, called natural tropone products. They are tautomers (two or more molecules that interconvert rapidly via an atom/group transfer) that share structural similarities. The similarities and present controversial debate regarding the structural identity of the natural tropones led to the examination of the transformation of one molecule to the next (i.e. from thiotropocin → TDA → thiosulfenin). We used computational methods to calculate how much energy was required for each transformation/reaction and to achieve a potential energy surface (energy diagram) for the overall conversion process. Comparing how much energy was needed for each conversion helped us address which step in the process is most energetically feasible (i.e. which step is most likely to occur). After obtaining a summarised potential energy surface with energetics calculated for the entire conversion process, interestingly, the first step listing the conversion of thiotropocin→TDA resulted in a barrierless process requiring no energy (0kcal/mol), indicating that this step is most feasible. Determining which step in the conversion process is most </w:t>
      </w:r>
      <w:r w:rsidRPr="001145DF">
        <w:rPr>
          <w:noProof/>
          <w:sz w:val="20"/>
          <w:szCs w:val="20"/>
        </w:rPr>
        <w:lastRenderedPageBreak/>
        <w:t>feasible, which thus indicates which natural tropone product is most likely to exist in nature, allows for further understanding and development of this antibiotic in the pharmaceutical industry.</w:t>
      </w:r>
    </w:p>
    <w:p w:rsidR="0052486D" w:rsidRDefault="0052486D" w:rsidP="00DD7B70">
      <w:pPr>
        <w:rPr>
          <w:b/>
        </w:rPr>
      </w:pPr>
    </w:p>
    <w:p w:rsidR="0052486D" w:rsidRPr="00992B72" w:rsidRDefault="0052486D" w:rsidP="0052486D">
      <w:r w:rsidRPr="00992B72">
        <w:rPr>
          <w:b/>
          <w:noProof/>
        </w:rPr>
        <w:t>Minkyung</w:t>
      </w:r>
      <w:r w:rsidRPr="00992B72">
        <w:rPr>
          <w:b/>
        </w:rPr>
        <w:t xml:space="preserve"> </w:t>
      </w:r>
      <w:r w:rsidRPr="00992B72">
        <w:rPr>
          <w:b/>
          <w:noProof/>
        </w:rPr>
        <w:t>Lee</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 xml:space="preserve">Do Juvenile Hormone Mimics Regulate Microcephaly Genes in </w:t>
      </w:r>
      <w:r w:rsidRPr="00992B72">
        <w:rPr>
          <w:noProof/>
        </w:rPr>
        <w:t>Drosophila melanogaster</w:t>
      </w:r>
    </w:p>
    <w:p w:rsidR="0052486D" w:rsidRPr="004C12E5" w:rsidRDefault="0052486D" w:rsidP="0052486D">
      <w:pPr>
        <w:rPr>
          <w:noProof/>
          <w:sz w:val="20"/>
          <w:szCs w:val="20"/>
        </w:rPr>
      </w:pPr>
      <w:r w:rsidRPr="004C12E5">
        <w:rPr>
          <w:noProof/>
          <w:sz w:val="20"/>
          <w:szCs w:val="20"/>
        </w:rPr>
        <w:t>It has been questioned whether pyriproxyfen, a juvenile hormone analog, rather than the Zika virus has been the cause of microcephaly since 2015, as the time period as the time period of the insecticide change match the increase in microcephaly cases (Evans</w:t>
      </w:r>
      <w:r w:rsidRPr="004C12E5">
        <w:rPr>
          <w:i/>
          <w:noProof/>
          <w:sz w:val="20"/>
          <w:szCs w:val="20"/>
        </w:rPr>
        <w:t xml:space="preserve"> et al.</w:t>
      </w:r>
      <w:r w:rsidRPr="004C12E5">
        <w:rPr>
          <w:noProof/>
          <w:sz w:val="20"/>
          <w:szCs w:val="20"/>
        </w:rPr>
        <w:t xml:space="preserve">, 2016). Juvenile hormone analogs are compounds that disrupt the developmental and reproductive processes of insects and crustaceans by altering gene expression (De Kort, Koopmanschap and Vermunt, 1997; Park and Allaby, 2013). Studies have shown that microcephaly, a </w:t>
      </w:r>
      <w:r w:rsidR="00373FA0">
        <w:rPr>
          <w:noProof/>
          <w:sz w:val="20"/>
          <w:szCs w:val="20"/>
        </w:rPr>
        <w:t>B</w:t>
      </w:r>
      <w:r w:rsidRPr="004C12E5">
        <w:rPr>
          <w:noProof/>
          <w:sz w:val="20"/>
          <w:szCs w:val="20"/>
        </w:rPr>
        <w:t>irth defect characterised by abnormally small brain size, can be caused by exposure to harmful substances during pregnancy as well as genetic causes (Hussain</w:t>
      </w:r>
      <w:r w:rsidRPr="004C12E5">
        <w:rPr>
          <w:i/>
          <w:noProof/>
          <w:sz w:val="20"/>
          <w:szCs w:val="20"/>
        </w:rPr>
        <w:t xml:space="preserve"> et al.</w:t>
      </w:r>
      <w:r w:rsidRPr="004C12E5">
        <w:rPr>
          <w:noProof/>
          <w:sz w:val="20"/>
          <w:szCs w:val="20"/>
        </w:rPr>
        <w:t>, 2016; Gilmore and Walsh, 2013).</w:t>
      </w:r>
    </w:p>
    <w:p w:rsidR="0052486D" w:rsidRPr="004C12E5" w:rsidRDefault="0052486D" w:rsidP="0052486D">
      <w:pPr>
        <w:rPr>
          <w:sz w:val="20"/>
          <w:szCs w:val="20"/>
        </w:rPr>
      </w:pPr>
      <w:r w:rsidRPr="004C12E5">
        <w:rPr>
          <w:noProof/>
          <w:sz w:val="20"/>
          <w:szCs w:val="20"/>
        </w:rPr>
        <w:t xml:space="preserve">This study sought to examine if the expression of any genes thought to be associated with microcephaly are modified by juvenile hormone and its analogs. Juvenile hormone analog targets were determined using microarray analysis comparing changes in RNA expression from Kc cells, brains and whole pupae treated with methoprene. An extensive literature search was completed for a compilation of genes associated with microcephaly. </w:t>
      </w:r>
      <w:r w:rsidRPr="004C12E5">
        <w:rPr>
          <w:i/>
          <w:noProof/>
          <w:sz w:val="20"/>
          <w:szCs w:val="20"/>
        </w:rPr>
        <w:t>Drosophila</w:t>
      </w:r>
      <w:r w:rsidRPr="004C12E5">
        <w:rPr>
          <w:noProof/>
          <w:sz w:val="20"/>
          <w:szCs w:val="20"/>
        </w:rPr>
        <w:t xml:space="preserve"> orthologs of microcephaly related human genes, scored by similarity in DNA sequences, were used for comparison with genes targeted by juvenile hormone analogs. Two genes, Wdr62 and TUB1G, overlapped. Studies have shown that both Wdr62 and TUB1G are centrosomal genes and important for cell division. We will next test to see if these genes are also targets of pyriproxyfen to better understand if this insecticide affects genes related to mammalian microcephaly.</w:t>
      </w:r>
    </w:p>
    <w:p w:rsidR="0052486D" w:rsidRPr="004C12E5" w:rsidRDefault="0052486D" w:rsidP="0052486D">
      <w:pPr>
        <w:rPr>
          <w:sz w:val="20"/>
          <w:szCs w:val="20"/>
        </w:rPr>
      </w:pPr>
      <w:r w:rsidRPr="004C12E5">
        <w:rPr>
          <w:i/>
          <w:noProof/>
          <w:sz w:val="20"/>
          <w:szCs w:val="20"/>
        </w:rPr>
        <w:t>The Smart Pad Project</w:t>
      </w:r>
    </w:p>
    <w:p w:rsidR="0052486D" w:rsidRPr="004C12E5" w:rsidRDefault="0052486D" w:rsidP="0052486D">
      <w:pPr>
        <w:rPr>
          <w:noProof/>
          <w:sz w:val="20"/>
          <w:szCs w:val="20"/>
        </w:rPr>
      </w:pPr>
      <w:r w:rsidRPr="004C12E5">
        <w:rPr>
          <w:noProof/>
          <w:sz w:val="20"/>
          <w:szCs w:val="20"/>
        </w:rPr>
        <w:t>Aim</w:t>
      </w:r>
    </w:p>
    <w:p w:rsidR="0052486D" w:rsidRPr="004C12E5" w:rsidRDefault="0052486D" w:rsidP="0052486D">
      <w:pPr>
        <w:rPr>
          <w:noProof/>
          <w:sz w:val="20"/>
          <w:szCs w:val="20"/>
        </w:rPr>
      </w:pPr>
      <w:r w:rsidRPr="004C12E5">
        <w:rPr>
          <w:noProof/>
          <w:sz w:val="20"/>
          <w:szCs w:val="20"/>
        </w:rPr>
        <w:t>This study investigates the feasibility of creating a wireless Radio Frequency Identification Device (RFID) sensor that could be placed in an incontinence pad to detect urinary metabolites. A metabolite is a compound found in urine such as glucose or nitrites. Previous literature has shown the creation of similar devices but none so far have been wireless.</w:t>
      </w:r>
    </w:p>
    <w:p w:rsidR="0052486D" w:rsidRPr="004C12E5" w:rsidRDefault="0052486D" w:rsidP="0052486D">
      <w:pPr>
        <w:rPr>
          <w:noProof/>
          <w:sz w:val="20"/>
          <w:szCs w:val="20"/>
        </w:rPr>
      </w:pPr>
      <w:r w:rsidRPr="004C12E5">
        <w:rPr>
          <w:noProof/>
          <w:sz w:val="20"/>
          <w:szCs w:val="20"/>
        </w:rPr>
        <w:t>Clinical relevance</w:t>
      </w:r>
    </w:p>
    <w:p w:rsidR="0052486D" w:rsidRPr="004C12E5" w:rsidRDefault="0052486D" w:rsidP="0052486D">
      <w:pPr>
        <w:rPr>
          <w:noProof/>
          <w:sz w:val="20"/>
          <w:szCs w:val="20"/>
        </w:rPr>
      </w:pPr>
      <w:r w:rsidRPr="004C12E5">
        <w:rPr>
          <w:noProof/>
          <w:sz w:val="20"/>
          <w:szCs w:val="20"/>
        </w:rPr>
        <w:t>Current devices for monitoring urinary metabolites are simplistic and rely on the patient’s ability to provide an adequate sample. For some patients, such as those with incontinence problems, providing a urinary sample can be difficult. Therefore the main aim of the project was to incorporate a sensor to detect the presence of urinary metabolites and correctly diagnose infections.</w:t>
      </w:r>
    </w:p>
    <w:p w:rsidR="0052486D" w:rsidRPr="004C12E5" w:rsidRDefault="0052486D" w:rsidP="0052486D">
      <w:pPr>
        <w:rPr>
          <w:noProof/>
          <w:sz w:val="20"/>
          <w:szCs w:val="20"/>
        </w:rPr>
      </w:pPr>
      <w:r w:rsidRPr="004C12E5">
        <w:rPr>
          <w:noProof/>
          <w:sz w:val="20"/>
          <w:szCs w:val="20"/>
        </w:rPr>
        <w:t>Results</w:t>
      </w:r>
    </w:p>
    <w:p w:rsidR="0052486D" w:rsidRPr="004C12E5" w:rsidRDefault="0052486D" w:rsidP="0052486D">
      <w:pPr>
        <w:rPr>
          <w:noProof/>
          <w:sz w:val="20"/>
          <w:szCs w:val="20"/>
        </w:rPr>
      </w:pPr>
      <w:r w:rsidRPr="004C12E5">
        <w:rPr>
          <w:noProof/>
          <w:sz w:val="20"/>
          <w:szCs w:val="20"/>
        </w:rPr>
        <w:t>During the dry condition, the nitrite sensor produced no response; in the wet condition, it produced a small response and, in the nitrite positive condition, it produced a significantly larger response.</w:t>
      </w:r>
    </w:p>
    <w:p w:rsidR="0052486D" w:rsidRPr="004C12E5" w:rsidRDefault="0052486D" w:rsidP="0052486D">
      <w:pPr>
        <w:rPr>
          <w:noProof/>
          <w:sz w:val="20"/>
          <w:szCs w:val="20"/>
        </w:rPr>
      </w:pPr>
      <w:r w:rsidRPr="004C12E5">
        <w:rPr>
          <w:noProof/>
          <w:sz w:val="20"/>
          <w:szCs w:val="20"/>
        </w:rPr>
        <w:t>Conclusions</w:t>
      </w:r>
    </w:p>
    <w:p w:rsidR="0052486D" w:rsidRPr="004C12E5" w:rsidRDefault="0052486D" w:rsidP="0052486D">
      <w:pPr>
        <w:rPr>
          <w:sz w:val="20"/>
          <w:szCs w:val="20"/>
        </w:rPr>
      </w:pPr>
      <w:r w:rsidRPr="004C12E5">
        <w:rPr>
          <w:noProof/>
          <w:sz w:val="20"/>
          <w:szCs w:val="20"/>
        </w:rPr>
        <w:t>The preliminary data suggests that a wireless RFID nitrite sensor is feasible; however, further research needs to be conducted into the sensors validity and safety. Advancements in the project include collection of data from commercially available moisture-detecting RFID tags and their suitability to the application of incontinence.</w:t>
      </w:r>
    </w:p>
    <w:p w:rsidR="0052486D" w:rsidRDefault="0052486D" w:rsidP="00DD7B70">
      <w:pPr>
        <w:rPr>
          <w:b/>
        </w:rPr>
      </w:pPr>
    </w:p>
    <w:p w:rsidR="004C12E5" w:rsidRPr="00373FA0" w:rsidRDefault="004C12E5" w:rsidP="004C12E5">
      <w:r w:rsidRPr="00992B72">
        <w:rPr>
          <w:b/>
          <w:noProof/>
        </w:rPr>
        <w:t>Aimee</w:t>
      </w:r>
      <w:r w:rsidRPr="00992B72">
        <w:rPr>
          <w:b/>
        </w:rPr>
        <w:t xml:space="preserve"> </w:t>
      </w:r>
      <w:r w:rsidRPr="00992B72">
        <w:rPr>
          <w:b/>
          <w:noProof/>
        </w:rPr>
        <w:t>Lloyd</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The Smart Pad Project</w:t>
      </w:r>
      <w:r w:rsidR="000649EB">
        <w:rPr>
          <w:i/>
          <w:noProof/>
        </w:rPr>
        <w:br/>
      </w:r>
      <w:r>
        <w:lastRenderedPageBreak/>
        <w:br/>
      </w:r>
      <w:r w:rsidRPr="004C12E5">
        <w:rPr>
          <w:noProof/>
          <w:sz w:val="20"/>
          <w:szCs w:val="20"/>
        </w:rPr>
        <w:t>Aim</w:t>
      </w:r>
    </w:p>
    <w:p w:rsidR="004C12E5" w:rsidRPr="004C12E5" w:rsidRDefault="004C12E5" w:rsidP="004C12E5">
      <w:pPr>
        <w:rPr>
          <w:noProof/>
          <w:sz w:val="20"/>
          <w:szCs w:val="20"/>
        </w:rPr>
      </w:pPr>
      <w:r w:rsidRPr="004C12E5">
        <w:rPr>
          <w:noProof/>
          <w:sz w:val="20"/>
          <w:szCs w:val="20"/>
        </w:rPr>
        <w:t>This study investigates the feasibility of creating a wireless Radio Frequency Identification Device (RFID) sensor that could be placed in an incontinence pad to detect urinary metabolites. A metabolite is a compound found in urine such as glucose or nitrites. Previous literature has shown the creation of similar devices but none so far have been wireless.</w:t>
      </w:r>
    </w:p>
    <w:p w:rsidR="004C12E5" w:rsidRPr="004C12E5" w:rsidRDefault="004C12E5" w:rsidP="004C12E5">
      <w:pPr>
        <w:rPr>
          <w:noProof/>
          <w:sz w:val="20"/>
          <w:szCs w:val="20"/>
        </w:rPr>
      </w:pPr>
      <w:r w:rsidRPr="004C12E5">
        <w:rPr>
          <w:noProof/>
          <w:sz w:val="20"/>
          <w:szCs w:val="20"/>
        </w:rPr>
        <w:t>Clinical relevance</w:t>
      </w:r>
    </w:p>
    <w:p w:rsidR="004C12E5" w:rsidRPr="004C12E5" w:rsidRDefault="004C12E5" w:rsidP="004C12E5">
      <w:pPr>
        <w:rPr>
          <w:noProof/>
          <w:sz w:val="20"/>
          <w:szCs w:val="20"/>
        </w:rPr>
      </w:pPr>
      <w:r w:rsidRPr="004C12E5">
        <w:rPr>
          <w:noProof/>
          <w:sz w:val="20"/>
          <w:szCs w:val="20"/>
        </w:rPr>
        <w:t>Current devices for monitoring urinary metabolites are simplistic and rely on the patient’s ability to provide an adequate sample. For some patients, such as those with incontinence problems, providing a urinary sample can be difficult. Therefore the main aim of the project was to incorporate a sensor to detect the presence of urinary metabolites and correctly diagnose infections.</w:t>
      </w:r>
    </w:p>
    <w:p w:rsidR="004C12E5" w:rsidRPr="004C12E5" w:rsidRDefault="004C12E5" w:rsidP="004C12E5">
      <w:pPr>
        <w:rPr>
          <w:noProof/>
          <w:sz w:val="20"/>
          <w:szCs w:val="20"/>
        </w:rPr>
      </w:pPr>
      <w:r w:rsidRPr="004C12E5">
        <w:rPr>
          <w:noProof/>
          <w:sz w:val="20"/>
          <w:szCs w:val="20"/>
        </w:rPr>
        <w:t>Results</w:t>
      </w:r>
    </w:p>
    <w:p w:rsidR="004C12E5" w:rsidRPr="004C12E5" w:rsidRDefault="004C12E5" w:rsidP="004C12E5">
      <w:pPr>
        <w:rPr>
          <w:noProof/>
          <w:sz w:val="20"/>
          <w:szCs w:val="20"/>
        </w:rPr>
      </w:pPr>
      <w:r w:rsidRPr="004C12E5">
        <w:rPr>
          <w:noProof/>
          <w:sz w:val="20"/>
          <w:szCs w:val="20"/>
        </w:rPr>
        <w:t>During the dry condition, the nitrite sensor produced no response; in the wet condition, it produced a small response and, in the nitrite positive condition, it produced a significantly larger response.</w:t>
      </w:r>
    </w:p>
    <w:p w:rsidR="004C12E5" w:rsidRPr="004C12E5" w:rsidRDefault="004C12E5" w:rsidP="004C12E5">
      <w:pPr>
        <w:rPr>
          <w:noProof/>
          <w:sz w:val="20"/>
          <w:szCs w:val="20"/>
        </w:rPr>
      </w:pPr>
      <w:r w:rsidRPr="004C12E5">
        <w:rPr>
          <w:noProof/>
          <w:sz w:val="20"/>
          <w:szCs w:val="20"/>
        </w:rPr>
        <w:t>Conclusions</w:t>
      </w:r>
    </w:p>
    <w:p w:rsidR="004C12E5" w:rsidRPr="004C12E5" w:rsidRDefault="004C12E5" w:rsidP="004C12E5">
      <w:pPr>
        <w:rPr>
          <w:sz w:val="20"/>
          <w:szCs w:val="20"/>
        </w:rPr>
      </w:pPr>
      <w:r w:rsidRPr="004C12E5">
        <w:rPr>
          <w:noProof/>
          <w:sz w:val="20"/>
          <w:szCs w:val="20"/>
        </w:rPr>
        <w:t>The preliminary data suggests that a wireless RFID nitrite sensor is feasible; however, further research needs to be conducted into the sensors validity and safety. Advancements in the project include collection of data from commercially available moisture-detecting RFID tags and their suitability to the application of incontinence.</w:t>
      </w:r>
    </w:p>
    <w:p w:rsidR="004C12E5" w:rsidRDefault="004C12E5" w:rsidP="00DD7B70">
      <w:pPr>
        <w:rPr>
          <w:b/>
        </w:rPr>
      </w:pPr>
    </w:p>
    <w:p w:rsidR="004C12E5" w:rsidRPr="00373FA0" w:rsidRDefault="004C12E5" w:rsidP="004C12E5">
      <w:r w:rsidRPr="00992B72">
        <w:rPr>
          <w:b/>
          <w:noProof/>
        </w:rPr>
        <w:t>Sarah</w:t>
      </w:r>
      <w:r w:rsidRPr="00992B72">
        <w:rPr>
          <w:b/>
        </w:rPr>
        <w:t xml:space="preserve"> </w:t>
      </w:r>
      <w:r w:rsidRPr="00992B72">
        <w:rPr>
          <w:b/>
          <w:noProof/>
        </w:rPr>
        <w:t>Binti Mohd Mokhdhari</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How Does the Geometry and Mechanical Properties of Nucleus Pulposus Effect the Finite Element Models of Intervertebral Discs?</w:t>
      </w:r>
      <w:r w:rsidR="000649EB">
        <w:rPr>
          <w:i/>
          <w:noProof/>
        </w:rPr>
        <w:br/>
      </w:r>
      <w:r>
        <w:br/>
      </w:r>
      <w:r w:rsidRPr="004C12E5">
        <w:rPr>
          <w:noProof/>
          <w:sz w:val="20"/>
          <w:szCs w:val="20"/>
        </w:rPr>
        <w:t>The limitation in tackling the back-pain problem that occurs to the majority of the adults is that the inability to conduct studies on healthy specimens of the human spine. While computational analysis is a promising preclinical testing tool, the models often require robust validation. Recent studies have focused on the importance of the fibre directionality in the finite element (FE) models of the intervertebral disc (IVD), while estimating the geometry of the annulus fibrosis (AF) and nucleus pulposus (NP) of the IVD. However, little to no research has focused on the sensitivity of the models to geometrical changes in AF and NP, which heavily relies on the assumption that the IVD behaves accordingly regardless of the shape and location of the NP. This lack of validation suggests uncertainty to the measured outputs.</w:t>
      </w:r>
    </w:p>
    <w:p w:rsidR="004C12E5" w:rsidRPr="004C12E5" w:rsidRDefault="004C12E5" w:rsidP="004C12E5">
      <w:pPr>
        <w:rPr>
          <w:noProof/>
          <w:sz w:val="20"/>
          <w:szCs w:val="20"/>
        </w:rPr>
      </w:pPr>
      <w:r w:rsidRPr="004C12E5">
        <w:rPr>
          <w:noProof/>
          <w:sz w:val="20"/>
          <w:szCs w:val="20"/>
        </w:rPr>
        <w:t>The aim of this works is to investigate the role of the NP on the sensitivity of the FE models to changes in geometry, location and mechanical properties of the NP.</w:t>
      </w:r>
    </w:p>
    <w:p w:rsidR="004C12E5" w:rsidRPr="004C12E5" w:rsidRDefault="004C12E5" w:rsidP="004C12E5">
      <w:pPr>
        <w:rPr>
          <w:noProof/>
          <w:sz w:val="20"/>
          <w:szCs w:val="20"/>
        </w:rPr>
      </w:pPr>
      <w:r w:rsidRPr="004C12E5">
        <w:rPr>
          <w:noProof/>
          <w:sz w:val="20"/>
          <w:szCs w:val="20"/>
        </w:rPr>
        <w:t>Image-based FE models of the IVD from computed tomography (CT) and magnetic resonance imaging (MRI) images capturing the NP will be created. The geometry of the NP will be validated experimentally using photographic evidence displaying the NP. Since the NP is composed of gel-like fluid, it is expected that some discrepancies will be seen between the FE models in terms of disc bulge and reaction forces. The results will highlight the importance of capturing the geometry of the NP, and replicate it in the FE models. Ideally, a more accurate computational representation of the NP based on medical images reduces the necessity to conduct studies on healthy specimens of the human spine.</w:t>
      </w:r>
    </w:p>
    <w:p w:rsidR="004C12E5" w:rsidRPr="004C12E5" w:rsidRDefault="004C12E5" w:rsidP="004C12E5">
      <w:pPr>
        <w:rPr>
          <w:sz w:val="20"/>
          <w:szCs w:val="20"/>
        </w:rPr>
      </w:pPr>
      <w:r w:rsidRPr="004C12E5">
        <w:rPr>
          <w:noProof/>
          <w:sz w:val="20"/>
          <w:szCs w:val="20"/>
        </w:rPr>
        <w:t>Towards the end of the study, the decision of the inclusion of a far more realistic geometry of the NP and the impact of it on the current FE models will be determined.</w:t>
      </w:r>
    </w:p>
    <w:p w:rsidR="00CD696E" w:rsidRDefault="00CD696E" w:rsidP="00DD7B70">
      <w:pPr>
        <w:rPr>
          <w:b/>
        </w:rPr>
      </w:pPr>
    </w:p>
    <w:p w:rsidR="00CD696E" w:rsidRDefault="00CD696E" w:rsidP="00CD696E">
      <w:pPr>
        <w:pStyle w:val="Heading1"/>
        <w:jc w:val="center"/>
      </w:pPr>
      <w:bookmarkStart w:id="92" w:name="_Toc501711976"/>
      <w:r>
        <w:lastRenderedPageBreak/>
        <w:t>SESSION 19</w:t>
      </w:r>
      <w:bookmarkEnd w:id="92"/>
    </w:p>
    <w:p w:rsidR="003E5931" w:rsidRPr="008F0D2E" w:rsidRDefault="00CD696E" w:rsidP="00CD696E">
      <w:pPr>
        <w:pStyle w:val="Heading2"/>
      </w:pPr>
      <w:r>
        <w:br/>
      </w:r>
      <w:bookmarkStart w:id="93" w:name="_Toc501711977"/>
      <w:r w:rsidR="003E5931" w:rsidRPr="008F0D2E">
        <w:t xml:space="preserve">Session 19A (Warwick </w:t>
      </w:r>
      <w:r w:rsidR="002F0813">
        <w:t>University, UK</w:t>
      </w:r>
      <w:r w:rsidR="004C12E5">
        <w:t>, Sussex University, UK</w:t>
      </w:r>
      <w:r w:rsidR="002F0813">
        <w:t xml:space="preserve"> </w:t>
      </w:r>
      <w:r w:rsidR="003E5931" w:rsidRPr="008F0D2E">
        <w:t>&amp; Baruch</w:t>
      </w:r>
      <w:r w:rsidR="002F0813">
        <w:t xml:space="preserve"> College, City University of New York, USA</w:t>
      </w:r>
      <w:r w:rsidR="003E5931" w:rsidRPr="008F0D2E">
        <w:t>)</w:t>
      </w:r>
      <w:bookmarkEnd w:id="93"/>
      <w:r w:rsidR="003E5931" w:rsidRPr="008F0D2E">
        <w:t xml:space="preserve"> </w:t>
      </w:r>
    </w:p>
    <w:p w:rsidR="003E5931" w:rsidRPr="008F0D2E" w:rsidRDefault="00D00F62" w:rsidP="00DD7B70">
      <w:pPr>
        <w:rPr>
          <w:i/>
        </w:rPr>
      </w:pPr>
      <w:r w:rsidRPr="00D00F62">
        <w:t>Theme:</w:t>
      </w:r>
      <w:r>
        <w:rPr>
          <w:i/>
        </w:rPr>
        <w:t xml:space="preserve"> </w:t>
      </w:r>
      <w:r w:rsidR="004C12E5" w:rsidRPr="004C12E5">
        <w:rPr>
          <w:i/>
        </w:rPr>
        <w:t>Money and Power</w:t>
      </w:r>
    </w:p>
    <w:p w:rsidR="00BF4AE1" w:rsidRDefault="00BF4AE1" w:rsidP="004C12E5">
      <w:pPr>
        <w:rPr>
          <w:b/>
          <w:noProof/>
        </w:rPr>
      </w:pPr>
    </w:p>
    <w:p w:rsidR="004C12E5" w:rsidRPr="00992B72" w:rsidRDefault="004C12E5" w:rsidP="004C12E5">
      <w:r w:rsidRPr="00992B72">
        <w:rPr>
          <w:b/>
          <w:noProof/>
        </w:rPr>
        <w:t>Jack</w:t>
      </w:r>
      <w:r w:rsidRPr="00992B72">
        <w:rPr>
          <w:b/>
        </w:rPr>
        <w:t xml:space="preserve"> </w:t>
      </w:r>
      <w:r w:rsidRPr="00992B72">
        <w:rPr>
          <w:b/>
          <w:noProof/>
        </w:rPr>
        <w:t>Alexander</w:t>
      </w:r>
      <w:r w:rsidRPr="00992B72">
        <w:t xml:space="preserve"> (</w:t>
      </w:r>
      <w:r w:rsidRPr="00992B72">
        <w:rPr>
          <w:noProof/>
        </w:rPr>
        <w:t>University of Warwick</w:t>
      </w:r>
      <w:r w:rsidRPr="00992B72">
        <w:t xml:space="preserve">, </w:t>
      </w:r>
      <w:r w:rsidRPr="00992B72">
        <w:rPr>
          <w:noProof/>
        </w:rPr>
        <w:t>UK</w:t>
      </w:r>
      <w:r w:rsidRPr="00992B72">
        <w:t>)</w:t>
      </w:r>
    </w:p>
    <w:p w:rsidR="004C12E5" w:rsidRPr="00373FA0" w:rsidRDefault="004C12E5" w:rsidP="004C12E5">
      <w:pPr>
        <w:rPr>
          <w:i/>
          <w:noProof/>
        </w:rPr>
      </w:pPr>
      <w:r w:rsidRPr="00992B72">
        <w:rPr>
          <w:i/>
          <w:noProof/>
        </w:rPr>
        <w:t>‘The start[...] of a bubble just cannot be explained rationally’ (Friedman, 2001). How far can we explain the behaviour of contemporaries when looking at the start of the South Sea Bubble in the early eighteenth century?</w:t>
      </w:r>
      <w:r w:rsidR="00373FA0">
        <w:rPr>
          <w:i/>
          <w:noProof/>
        </w:rPr>
        <w:br/>
      </w:r>
      <w:r>
        <w:br/>
      </w:r>
      <w:r w:rsidRPr="004C12E5">
        <w:rPr>
          <w:noProof/>
          <w:sz w:val="20"/>
          <w:szCs w:val="20"/>
        </w:rPr>
        <w:t>Speculative bubbles, or economic bubbles, have featured recurrently in our history in various mutated forms since the early-seventeenth century. However, their labyrinthine personalities leave them misunderstood. They are capable of bewitching entire societies and their destructive capacity can be immense, it is remarkable that our ability to understand, react to or even predict bubbles is so rudimentary. The South Sea Bubble was the first speculative episode in British history, causing a major stock market crash. The argument of this paper can be situated uniquely within the historiography, diverging from a ‘gambling mania’ interpretation upheld by P. G. M. Dickson and the traditionalist school.</w:t>
      </w:r>
    </w:p>
    <w:p w:rsidR="004C12E5" w:rsidRPr="004C12E5" w:rsidRDefault="004C12E5" w:rsidP="004C12E5">
      <w:pPr>
        <w:rPr>
          <w:noProof/>
          <w:sz w:val="20"/>
          <w:szCs w:val="20"/>
        </w:rPr>
      </w:pPr>
      <w:r w:rsidRPr="004C12E5">
        <w:rPr>
          <w:noProof/>
          <w:sz w:val="20"/>
          <w:szCs w:val="20"/>
        </w:rPr>
        <w:t>Through developing the Revisionist kickback, driven by H. Paul, this paper bridges a current void within the existing historiography, which fails to comprehend the actions of all investors rationally. Through forwarding an argument of bounded rationality, it removes the investor as the protagonist and instead posits the wider context as the fundamental factor causing the bubble. Speculative bubbles are context specific and can only be understood through unpacking the contemporary culture. This paper draws on a range of primary sources, psychological and economic theory to unpack the contemporary context and investor behaviour.</w:t>
      </w:r>
    </w:p>
    <w:p w:rsidR="004C12E5" w:rsidRPr="004C12E5" w:rsidRDefault="004C12E5" w:rsidP="004C12E5">
      <w:pPr>
        <w:rPr>
          <w:sz w:val="20"/>
          <w:szCs w:val="20"/>
        </w:rPr>
      </w:pPr>
      <w:r w:rsidRPr="004C12E5">
        <w:rPr>
          <w:noProof/>
          <w:sz w:val="20"/>
          <w:szCs w:val="20"/>
        </w:rPr>
        <w:t>Through embracing an interdisciplinary style, together with the application of the Cambridge School’s contextualist methodology, this paper defends the rationality of investors. The analytical framework presented can be usefully applied to other speculative episodes, unveiling new insights into their emergence. Moreover, the underlying argument that investors behave rationally in speculative episodes has wider implications for the understanding and prediction of future bubbles.</w:t>
      </w:r>
    </w:p>
    <w:p w:rsidR="004C12E5" w:rsidRPr="00992B72" w:rsidRDefault="004C12E5" w:rsidP="004C12E5"/>
    <w:p w:rsidR="004C12E5" w:rsidRPr="004C12E5" w:rsidRDefault="004C12E5" w:rsidP="004C12E5">
      <w:r w:rsidRPr="00992B72">
        <w:rPr>
          <w:b/>
          <w:noProof/>
        </w:rPr>
        <w:t>Carly</w:t>
      </w:r>
      <w:r w:rsidRPr="00992B72">
        <w:rPr>
          <w:b/>
        </w:rPr>
        <w:t xml:space="preserve"> </w:t>
      </w:r>
      <w:r w:rsidRPr="00992B72">
        <w:rPr>
          <w:b/>
          <w:noProof/>
        </w:rPr>
        <w:t>Murphy</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Combatting Accounting Fraud: Comparing the US and UK accounting laws</w:t>
      </w:r>
      <w:r w:rsidR="000649EB">
        <w:rPr>
          <w:i/>
          <w:noProof/>
        </w:rPr>
        <w:br/>
      </w:r>
      <w:r>
        <w:br/>
      </w:r>
      <w:r w:rsidRPr="004C12E5">
        <w:rPr>
          <w:noProof/>
          <w:sz w:val="20"/>
          <w:szCs w:val="20"/>
        </w:rPr>
        <w:t xml:space="preserve">Through comparing the United States Sarbanes-Oxley Act (SOX) and the UK’s Corporate Governance code, I questioned whether the US’s implementation of hard accounting law should remain in place in order to protect investors that are impacted by accounting fraud. With the many accounting fraud cases that occurred in the early 2000s such as WorldCom and Enron, the United States found it necessary to put SOX in place, which put much stricter requirements on publicly traded companies in terms of internal control and external auditing measures. Since then, there has been much criticism due to the large costs that come with complying with SOX Section 404. However, accounting fraud cases have been shown to be on a significant decline since the enactment of the Act. With the security of investors in mind, I found it necessary to research more about the UK’s Governance Code, which shows to be much more lenient than SOX. What I discovered was that the UK code adopted a principles-based approach, where the code is simply recommended and not specifically tied to litigation. With this being the case, I found it difficult to give favour to a more lenient accounting regulatory system when my main argument is to make sure investors can feel secure in trusting the financial </w:t>
      </w:r>
      <w:r w:rsidRPr="004C12E5">
        <w:rPr>
          <w:noProof/>
          <w:sz w:val="20"/>
          <w:szCs w:val="20"/>
        </w:rPr>
        <w:lastRenderedPageBreak/>
        <w:t>statements for the companies in which they are investing. With the changes occurring within the United States’ governmental system currently, I believe this topic to be interesting and relevant.</w:t>
      </w:r>
    </w:p>
    <w:p w:rsidR="004C12E5" w:rsidRDefault="004C12E5" w:rsidP="004C12E5">
      <w:pPr>
        <w:rPr>
          <w:sz w:val="20"/>
        </w:rPr>
      </w:pPr>
    </w:p>
    <w:p w:rsidR="004C12E5" w:rsidRPr="004C12E5" w:rsidRDefault="004C12E5" w:rsidP="004C12E5">
      <w:r w:rsidRPr="00992B72">
        <w:rPr>
          <w:b/>
          <w:noProof/>
        </w:rPr>
        <w:t>Charles</w:t>
      </w:r>
      <w:r w:rsidRPr="00992B72">
        <w:rPr>
          <w:b/>
        </w:rPr>
        <w:t xml:space="preserve"> </w:t>
      </w:r>
      <w:r w:rsidRPr="00992B72">
        <w:rPr>
          <w:b/>
          <w:noProof/>
        </w:rPr>
        <w:t>Liu</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Convenience Stores in Japan: Are they too convenient?</w:t>
      </w:r>
      <w:r w:rsidR="000649EB">
        <w:rPr>
          <w:i/>
          <w:noProof/>
        </w:rPr>
        <w:br/>
      </w:r>
      <w:r>
        <w:br/>
      </w:r>
      <w:r w:rsidRPr="004C12E5">
        <w:rPr>
          <w:noProof/>
          <w:sz w:val="20"/>
          <w:szCs w:val="20"/>
        </w:rPr>
        <w:t>Convenience stores are a ubiquitous presence in Japan. Introduced to Japan in the 1970s, they rose to become one of Japan’s top retail business types. To maintain their strong position, convenience store chains have developed ultra-efficient methods of distribution and product development. Compared to an equivalent in the United States, a convenience store in Japan offers a wider variety of goods and services to make itself more than just a retailer. It has done this by not only re-inventing modes of retail business methods but also affecting consumer behaviours and their lifestyle. Such services include courier services and bill payments. Expanding beyond business, some convenience stores in Japan contribute to their community such as aiding in earthquake relief efforts. They have positioned themselves to be a focal point in the community. Our research analyses a range of sources such newspaper articles, scholarly articles, books, essays and documentaries in an attempt to answer the question ‘why are convenience stores in Japan so successful?’ We have discovered that while convenience stores in Japan are the epitome of convenience, they also contribute to social problems such as hyper-consumerist mindsets, growing amounts of ‘food waste’, and reliance on this service industry. The research presented aims to highlight how a business affects a community socially and culturally, and to further understanding on the context of how the Japanese convenience store arose.</w:t>
      </w:r>
    </w:p>
    <w:p w:rsidR="004C12E5" w:rsidRDefault="004C12E5" w:rsidP="004C12E5">
      <w:pPr>
        <w:rPr>
          <w:sz w:val="20"/>
        </w:rPr>
      </w:pPr>
    </w:p>
    <w:p w:rsidR="004C12E5" w:rsidRPr="004C12E5" w:rsidRDefault="004C12E5" w:rsidP="004C12E5">
      <w:r w:rsidRPr="00992B72">
        <w:rPr>
          <w:b/>
          <w:noProof/>
        </w:rPr>
        <w:t>Tobias</w:t>
      </w:r>
      <w:r w:rsidRPr="00992B72">
        <w:rPr>
          <w:b/>
        </w:rPr>
        <w:t xml:space="preserve"> </w:t>
      </w:r>
      <w:r w:rsidRPr="00992B72">
        <w:rPr>
          <w:b/>
          <w:noProof/>
        </w:rPr>
        <w:t>Burke</w:t>
      </w:r>
      <w:r w:rsidRPr="00992B72">
        <w:t xml:space="preserve"> (</w:t>
      </w:r>
      <w:r w:rsidRPr="00992B72">
        <w:rPr>
          <w:noProof/>
        </w:rPr>
        <w:t>Sussex University</w:t>
      </w:r>
      <w:r w:rsidRPr="00992B72">
        <w:t xml:space="preserve">, </w:t>
      </w:r>
      <w:r w:rsidRPr="00992B72">
        <w:rPr>
          <w:noProof/>
        </w:rPr>
        <w:t>UK</w:t>
      </w:r>
      <w:r w:rsidR="00373FA0">
        <w:t>)</w:t>
      </w:r>
      <w:r w:rsidR="00373FA0">
        <w:br/>
      </w:r>
      <w:r w:rsidRPr="00992B72">
        <w:rPr>
          <w:i/>
          <w:noProof/>
        </w:rPr>
        <w:t>British Expats in Spain and Brexit: A survey and socio-historical review</w:t>
      </w:r>
      <w:r w:rsidR="000649EB">
        <w:rPr>
          <w:i/>
          <w:noProof/>
        </w:rPr>
        <w:br/>
      </w:r>
      <w:r>
        <w:br/>
      </w:r>
      <w:r w:rsidRPr="004C12E5">
        <w:rPr>
          <w:noProof/>
          <w:sz w:val="20"/>
          <w:szCs w:val="20"/>
        </w:rPr>
        <w:t>The Costa del Sol, on the south coast of Spain, holds the largest number of British immigrants in the EU. While demographic research has frequently been carried out on this group of people, and much research has been done on British residents in the EU, there has not yet been a focused study of British migrants and their response to Brexit in the region they are most populous in Europe: the Costa del Sol. The study aims to highlight the responses and concerns of British immigrants towards Brexit as their position in the Brexit negotiations is largely neglected. To contextualise the political position of British immigrants in Spain within the ongoing negotiations, a literature review was used to obtain a broad socio-historical context, and an online survey and interviews of British immigrants were used to obtain raw data on historical and demographic trends and responses to Brexit. The study concludes that British immigrants in the EU, and notably in Spain, interact with the UK and Spain’s commercial, migratory and political interests in a complex fashion given the deep intertwining of these nations in these areas through the EU. As such, a soft Brexit would be, on balance, more beneficial for both parties politically and practically. The survey reveals several results, most importantly that free-movement is the largest concern for the British on the Costa del Sol and that they feel their position should have a higher profile during the ongoing negotiations.</w:t>
      </w:r>
    </w:p>
    <w:p w:rsidR="00CD696E" w:rsidRPr="008F0D2E" w:rsidRDefault="00CD696E" w:rsidP="00DD7B70"/>
    <w:p w:rsidR="003E5931" w:rsidRPr="008F0D2E" w:rsidRDefault="003E5931" w:rsidP="00CD696E">
      <w:pPr>
        <w:pStyle w:val="Heading2"/>
      </w:pPr>
      <w:bookmarkStart w:id="94" w:name="_Toc501711978"/>
      <w:r w:rsidRPr="008F0D2E">
        <w:t>Session 19B (Warwick</w:t>
      </w:r>
      <w:r w:rsidR="002F0813">
        <w:t xml:space="preserve"> University, UK</w:t>
      </w:r>
      <w:r w:rsidR="004C12E5">
        <w:t xml:space="preserve">, </w:t>
      </w:r>
      <w:r w:rsidR="002F0813">
        <w:t xml:space="preserve">University of </w:t>
      </w:r>
      <w:r w:rsidRPr="008F0D2E">
        <w:t>Leeds</w:t>
      </w:r>
      <w:r w:rsidR="002F0813">
        <w:t>, UK</w:t>
      </w:r>
      <w:r w:rsidR="004C12E5">
        <w:t>, Monash University, South Africa</w:t>
      </w:r>
      <w:r w:rsidRPr="008F0D2E">
        <w:t>)</w:t>
      </w:r>
      <w:bookmarkEnd w:id="94"/>
      <w:r w:rsidRPr="008F0D2E">
        <w:t xml:space="preserve"> </w:t>
      </w:r>
    </w:p>
    <w:p w:rsidR="003E5931" w:rsidRPr="008F0D2E" w:rsidRDefault="00D00F62" w:rsidP="00DD7B70">
      <w:pPr>
        <w:rPr>
          <w:i/>
        </w:rPr>
      </w:pPr>
      <w:r w:rsidRPr="00D00F62">
        <w:t>Theme:</w:t>
      </w:r>
      <w:r>
        <w:rPr>
          <w:i/>
        </w:rPr>
        <w:t xml:space="preserve"> </w:t>
      </w:r>
      <w:r w:rsidR="004C12E5" w:rsidRPr="004C12E5">
        <w:rPr>
          <w:i/>
        </w:rPr>
        <w:t>Gold, Crime and Money</w:t>
      </w:r>
    </w:p>
    <w:p w:rsidR="00BF4AE1" w:rsidRDefault="00BF4AE1" w:rsidP="004C12E5">
      <w:pPr>
        <w:rPr>
          <w:b/>
          <w:noProof/>
        </w:rPr>
      </w:pPr>
    </w:p>
    <w:p w:rsidR="004C12E5" w:rsidRPr="004C12E5" w:rsidRDefault="004C12E5" w:rsidP="004C12E5">
      <w:r w:rsidRPr="00992B72">
        <w:rPr>
          <w:b/>
          <w:noProof/>
        </w:rPr>
        <w:t>Nyasha Norah</w:t>
      </w:r>
      <w:r w:rsidRPr="00992B72">
        <w:rPr>
          <w:b/>
        </w:rPr>
        <w:t xml:space="preserve"> </w:t>
      </w:r>
      <w:r w:rsidRPr="00992B72">
        <w:rPr>
          <w:b/>
          <w:noProof/>
        </w:rPr>
        <w:t>Ruvire</w:t>
      </w:r>
      <w:r>
        <w:rPr>
          <w:b/>
          <w:noProof/>
        </w:rPr>
        <w:t xml:space="preserve"> &amp; Dereck Mavesere </w:t>
      </w:r>
      <w:r w:rsidRPr="00992B72">
        <w:t>(</w:t>
      </w:r>
      <w:r w:rsidRPr="00992B72">
        <w:rPr>
          <w:noProof/>
        </w:rPr>
        <w:t>Monash University</w:t>
      </w:r>
      <w:r w:rsidRPr="00992B72">
        <w:t xml:space="preserve">, </w:t>
      </w:r>
      <w:r w:rsidRPr="00992B72">
        <w:rPr>
          <w:noProof/>
        </w:rPr>
        <w:t>South Africa</w:t>
      </w:r>
      <w:r w:rsidR="00373FA0">
        <w:t>)</w:t>
      </w:r>
      <w:r w:rsidR="00373FA0">
        <w:br/>
      </w:r>
      <w:r w:rsidRPr="00992B72">
        <w:rPr>
          <w:i/>
          <w:noProof/>
        </w:rPr>
        <w:t>Testing for Competition and the Implications of Collusion in the South African Banking Sector</w:t>
      </w:r>
      <w:r w:rsidR="000649EB">
        <w:rPr>
          <w:i/>
          <w:noProof/>
        </w:rPr>
        <w:br/>
      </w:r>
      <w:r>
        <w:br/>
      </w:r>
      <w:r w:rsidRPr="004C12E5">
        <w:rPr>
          <w:noProof/>
          <w:sz w:val="20"/>
          <w:szCs w:val="20"/>
        </w:rPr>
        <w:lastRenderedPageBreak/>
        <w:t>This research paper examines the degree of competition in the South African banking sector by making use of the Structure-Conduct-Performance (S-C-P) Paradigm and the Panzar and Rosse statistic and investigates the implications of bank behaviour. The S-C-P paradigm links the industries structure, which is normally characterised by the levels of concentration of the banking system, to conduct and to their performance as the level of competition is implied by the industries structural features. The H-statistic of the Panzar and Rosse model, which is a measure of the degree of competition in the banking sector, suggests that the South African banking system is under monopolistic competition. According to the S-C-P paradigm, it has been proven that the high concentration in the South African banking sector encourages greater market power exercised by the banks and facilitated collusion among them. With this backdrop, this study analyses the negative effects of collusive behaviour by the banks on South Africa’s economy. It is therefore necessary for the government to take vigorous steps in dealing with this problem and to prevent such reality form happening.</w:t>
      </w:r>
    </w:p>
    <w:p w:rsidR="00F10D8F" w:rsidRDefault="00F10D8F" w:rsidP="004C12E5">
      <w:pPr>
        <w:rPr>
          <w:sz w:val="20"/>
          <w:szCs w:val="20"/>
        </w:rPr>
      </w:pPr>
    </w:p>
    <w:p w:rsidR="001A3B5F" w:rsidRPr="00373FA0" w:rsidRDefault="001A3B5F" w:rsidP="001A3B5F">
      <w:r w:rsidRPr="001A3B5F">
        <w:rPr>
          <w:b/>
        </w:rPr>
        <w:t>Pr</w:t>
      </w:r>
      <w:r>
        <w:rPr>
          <w:b/>
        </w:rPr>
        <w:t>a</w:t>
      </w:r>
      <w:r w:rsidRPr="001A3B5F">
        <w:rPr>
          <w:b/>
        </w:rPr>
        <w:t>gatheiswar Giri</w:t>
      </w:r>
      <w:r w:rsidRPr="001A3B5F">
        <w:t xml:space="preserve"> (Leeds</w:t>
      </w:r>
      <w:r>
        <w:t xml:space="preserve"> University, UK</w:t>
      </w:r>
      <w:r w:rsidR="00373FA0">
        <w:t>)</w:t>
      </w:r>
      <w:r w:rsidR="00373FA0">
        <w:br/>
      </w:r>
      <w:r w:rsidRPr="001A3B5F">
        <w:rPr>
          <w:i/>
          <w:noProof/>
        </w:rPr>
        <w:t>Polymer Brush Grafted Surfaces for Urinary Catheterisation</w:t>
      </w:r>
      <w:r w:rsidR="000649EB">
        <w:rPr>
          <w:i/>
          <w:noProof/>
        </w:rPr>
        <w:br/>
      </w:r>
      <w:r w:rsidRPr="001A3B5F">
        <w:br/>
      </w:r>
      <w:r w:rsidRPr="001A3B5F">
        <w:rPr>
          <w:noProof/>
          <w:sz w:val="20"/>
          <w:szCs w:val="20"/>
        </w:rPr>
        <w:t>Biofilm formation, bacterial colonisation and urethral trauma during urinary catheterisation lead to infection, pain and discomfort for the patient and thereby failure of the device. Polymer brush grafted surfaces are an attractive technology for this application due to their ability to make a surface easily wetted by water and tailor a surface for antimicrobial efficiency. This hydrophilic property will evidently show the decrease in biofilm formation and also reduction in friction effectively. There is also reduced surface roughness and reduced adhesion, which constitutes a vivid enhancement in the surface properties, compared to their hydrogel counter parts. The aim of this project was to investigate, characterise and optimise the grafting procedure of polymer brushes onto silicone elastomer surfaces. Surfaces were characterised by water contact angle measurement (WCA), Fourier transform infrared (FTIR) spectroscopy and friction assessment of grafted surfaces. Initial results demonstrate remarkable reduction in water contact angle, which indicates that the grafted surface has a stronger affinity for water. The future work is to optimise the surface based on friction, lifespan, anti-fouling properties and profoundly reducing the cost of the coated catheters and also the reusability of the biomedical device.</w:t>
      </w:r>
    </w:p>
    <w:p w:rsidR="001A3B5F" w:rsidRPr="004C12E5" w:rsidRDefault="001A3B5F" w:rsidP="004C12E5">
      <w:pPr>
        <w:rPr>
          <w:sz w:val="20"/>
          <w:szCs w:val="20"/>
        </w:rPr>
      </w:pPr>
    </w:p>
    <w:p w:rsidR="004C12E5" w:rsidRPr="004C12E5" w:rsidRDefault="004C12E5" w:rsidP="004C12E5">
      <w:r w:rsidRPr="00992B72">
        <w:rPr>
          <w:b/>
          <w:noProof/>
        </w:rPr>
        <w:t>James</w:t>
      </w:r>
      <w:r w:rsidRPr="00992B72">
        <w:rPr>
          <w:b/>
        </w:rPr>
        <w:t xml:space="preserve"> </w:t>
      </w:r>
      <w:r w:rsidRPr="00992B72">
        <w:rPr>
          <w:b/>
          <w:noProof/>
        </w:rPr>
        <w:t>Ball</w:t>
      </w:r>
      <w:r w:rsidRPr="00992B72">
        <w:t xml:space="preserve"> (</w:t>
      </w:r>
      <w:r w:rsidRPr="00992B72">
        <w:rPr>
          <w:noProof/>
        </w:rPr>
        <w:t>Leeds University</w:t>
      </w:r>
      <w:r w:rsidRPr="00992B72">
        <w:t xml:space="preserve">, </w:t>
      </w:r>
      <w:r w:rsidRPr="00992B72">
        <w:rPr>
          <w:noProof/>
        </w:rPr>
        <w:t>UK</w:t>
      </w:r>
      <w:r w:rsidR="00373FA0">
        <w:t>)</w:t>
      </w:r>
      <w:r w:rsidR="00373FA0">
        <w:br/>
      </w:r>
      <w:r w:rsidRPr="00992B72">
        <w:rPr>
          <w:i/>
          <w:noProof/>
        </w:rPr>
        <w:t>Applying New Technologies to the Analysis of Natural Gold from the Caledonian Mountain Belt</w:t>
      </w:r>
      <w:r w:rsidR="000649EB">
        <w:rPr>
          <w:i/>
          <w:noProof/>
        </w:rPr>
        <w:br/>
      </w:r>
      <w:r>
        <w:br/>
      </w:r>
      <w:r w:rsidRPr="004C12E5">
        <w:rPr>
          <w:noProof/>
          <w:sz w:val="20"/>
          <w:szCs w:val="20"/>
        </w:rPr>
        <w:t>Natural gold is often alloyed with other metals and contains small fragments of minerals. Previously, the alloyed metals and inclusions in gold have been analysed to determine the chemistry of a mineralising fluid and the conditions in which gold is emplaced. Using a new technique, trace elements and nano-scale structures within gold can be analysed to try and uncover a fundamental process of mineralisation. Knowing more about the processes that form gold and other metals can help to target exploration more accurately, allowing us to continue using the gold that is used in everywhere from your jewellery to biocompatible implants and space shuttles.</w:t>
      </w:r>
    </w:p>
    <w:p w:rsidR="004C12E5" w:rsidRPr="004C12E5" w:rsidRDefault="004C12E5" w:rsidP="004C12E5">
      <w:pPr>
        <w:rPr>
          <w:noProof/>
          <w:sz w:val="20"/>
          <w:szCs w:val="20"/>
        </w:rPr>
      </w:pPr>
      <w:r w:rsidRPr="004C12E5">
        <w:rPr>
          <w:noProof/>
          <w:sz w:val="20"/>
          <w:szCs w:val="20"/>
        </w:rPr>
        <w:t>Previous work has used a Scanning Electron Microscope (SEM) and Electron Probe Micro-Analysis (EPMA) to distinguish the elements that comprise gold with a parts per million resolution. Using Laser-Ablation Inductively-Coupled-Plasma Mass Spectroscopy (LA-ICP-MS), individual gold grains from specific localities in the UK and worldwide can be analysed for up to 40 different elements in a parts per billion concentration. This new technique will look deeper into the composition of natural gold and greatly improve our understanding.</w:t>
      </w:r>
    </w:p>
    <w:p w:rsidR="004C12E5" w:rsidRPr="004C12E5" w:rsidRDefault="004C12E5" w:rsidP="004C12E5">
      <w:pPr>
        <w:rPr>
          <w:sz w:val="20"/>
          <w:szCs w:val="20"/>
        </w:rPr>
      </w:pPr>
      <w:r w:rsidRPr="004C12E5">
        <w:rPr>
          <w:noProof/>
          <w:sz w:val="20"/>
          <w:szCs w:val="20"/>
        </w:rPr>
        <w:t>As well as general characterisation of the gold, a global mineralisation review of the ancient Caledonian mountain range using gold from the UK and North America has been conducted. The research will endeavour to characterise gold on the smallest possible scale and provide knowledge for the research and industry communities worldwide.</w:t>
      </w:r>
    </w:p>
    <w:p w:rsidR="004C12E5" w:rsidRDefault="004C12E5" w:rsidP="004C12E5">
      <w:pPr>
        <w:rPr>
          <w:sz w:val="20"/>
        </w:rPr>
      </w:pPr>
    </w:p>
    <w:p w:rsidR="004C12E5" w:rsidRPr="004C12E5" w:rsidRDefault="004C12E5" w:rsidP="004C12E5">
      <w:r w:rsidRPr="00992B72">
        <w:rPr>
          <w:b/>
          <w:noProof/>
        </w:rPr>
        <w:t>Kiran</w:t>
      </w:r>
      <w:r w:rsidRPr="00992B72">
        <w:rPr>
          <w:b/>
        </w:rPr>
        <w:t xml:space="preserve"> </w:t>
      </w:r>
      <w:r w:rsidRPr="00992B72">
        <w:rPr>
          <w:b/>
          <w:noProof/>
        </w:rPr>
        <w:t>Lloyd</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VSL vs. $QALY as Measures of the Value a Human Life</w:t>
      </w:r>
      <w:r>
        <w:br/>
      </w:r>
      <w:r w:rsidR="00373FA0">
        <w:rPr>
          <w:noProof/>
          <w:sz w:val="20"/>
          <w:szCs w:val="20"/>
        </w:rPr>
        <w:br/>
      </w:r>
      <w:r w:rsidRPr="004C12E5">
        <w:rPr>
          <w:noProof/>
          <w:sz w:val="20"/>
          <w:szCs w:val="20"/>
        </w:rPr>
        <w:t>Health economics is the study of decisions made between various options for the allocation of scarce resources where at least one has an impact on human health. Often the allocation is made based on economic analyses e.g. a cost-benefit analysis. Analyses like these require us to place a value on human life. Since we desire an optimal allocation – one which correctly balances the value of human life against other competing values – we must assign the correct value to human life at the outset.</w:t>
      </w:r>
    </w:p>
    <w:p w:rsidR="004C12E5" w:rsidRPr="004C12E5" w:rsidRDefault="004C12E5" w:rsidP="004C12E5">
      <w:pPr>
        <w:rPr>
          <w:noProof/>
          <w:sz w:val="20"/>
          <w:szCs w:val="20"/>
        </w:rPr>
      </w:pPr>
      <w:r w:rsidRPr="004C12E5">
        <w:rPr>
          <w:noProof/>
          <w:sz w:val="20"/>
          <w:szCs w:val="20"/>
        </w:rPr>
        <w:t>Two metrics used to measure the value of human life are the pound value of a quality adjusted life year (£QALY) and the value of a statistical life (VSL). Given a life is exhaustively composed of the years in it, it would be surprising if summing the values for each of the years in a life produced a lower value than simply measuring the value of the life itself. Yet that is exactly the situation we find ourselves in.</w:t>
      </w:r>
    </w:p>
    <w:p w:rsidR="004C12E5" w:rsidRPr="004C12E5" w:rsidRDefault="004C12E5" w:rsidP="004C12E5">
      <w:pPr>
        <w:rPr>
          <w:noProof/>
          <w:sz w:val="20"/>
          <w:szCs w:val="20"/>
        </w:rPr>
      </w:pPr>
      <w:r w:rsidRPr="004C12E5">
        <w:rPr>
          <w:noProof/>
          <w:sz w:val="20"/>
          <w:szCs w:val="20"/>
        </w:rPr>
        <w:t>While our best estimates for VSL are around £5 million, giving the value of a year of life at £62,500, the NHS appears willing to spend only £25,000 per QALY.</w:t>
      </w:r>
    </w:p>
    <w:p w:rsidR="004C12E5" w:rsidRPr="004C12E5" w:rsidRDefault="004C12E5" w:rsidP="004C12E5">
      <w:pPr>
        <w:rPr>
          <w:sz w:val="20"/>
          <w:szCs w:val="20"/>
        </w:rPr>
      </w:pPr>
      <w:r w:rsidRPr="004C12E5">
        <w:rPr>
          <w:noProof/>
          <w:sz w:val="20"/>
          <w:szCs w:val="20"/>
        </w:rPr>
        <w:t>I attempt to resolve this discrepancy by considering alternative explanations for it, and show that each of these has unpalatable consequences. I argue the most palatable solution, despite its consequences for economics more generally, is to amend the method by which we arrive at the VSL.</w:t>
      </w:r>
    </w:p>
    <w:p w:rsidR="00AE4AE3" w:rsidRDefault="00AE4AE3" w:rsidP="00DD7B70">
      <w:pPr>
        <w:rPr>
          <w:sz w:val="20"/>
        </w:rPr>
      </w:pPr>
    </w:p>
    <w:p w:rsidR="004C12E5" w:rsidRDefault="004C12E5">
      <w:pPr>
        <w:pStyle w:val="Heading1"/>
      </w:pPr>
      <w:bookmarkStart w:id="95" w:name="_Toc501711979"/>
      <w:r>
        <w:t>SESSION 20</w:t>
      </w:r>
      <w:bookmarkEnd w:id="95"/>
    </w:p>
    <w:p w:rsidR="004C12E5" w:rsidRDefault="004C12E5" w:rsidP="004C12E5">
      <w:pPr>
        <w:pStyle w:val="Heading2"/>
      </w:pPr>
      <w:bookmarkStart w:id="96" w:name="_Toc501711980"/>
      <w:r>
        <w:t>Session 20A (Warwick University &amp; Baruch College, City University of New York, USA</w:t>
      </w:r>
      <w:r w:rsidR="00E24BD1">
        <w:t>)</w:t>
      </w:r>
      <w:bookmarkEnd w:id="96"/>
    </w:p>
    <w:p w:rsidR="00E24BD1" w:rsidRDefault="00E24BD1" w:rsidP="00E24BD1">
      <w:pPr>
        <w:rPr>
          <w:i/>
        </w:rPr>
      </w:pPr>
      <w:r>
        <w:rPr>
          <w:i/>
        </w:rPr>
        <w:t xml:space="preserve">Theme: </w:t>
      </w:r>
      <w:r w:rsidRPr="00E24BD1">
        <w:rPr>
          <w:i/>
        </w:rPr>
        <w:t>Economics and Culture</w:t>
      </w:r>
    </w:p>
    <w:p w:rsidR="001A3B5F" w:rsidRDefault="001A3B5F" w:rsidP="00E24BD1">
      <w:pPr>
        <w:rPr>
          <w:b/>
          <w:noProof/>
        </w:rPr>
      </w:pPr>
    </w:p>
    <w:p w:rsidR="00E24BD1" w:rsidRPr="00373FA0" w:rsidRDefault="00E24BD1" w:rsidP="00E24BD1">
      <w:r w:rsidRPr="00992B72">
        <w:rPr>
          <w:b/>
          <w:noProof/>
        </w:rPr>
        <w:t>Pawel</w:t>
      </w:r>
      <w:r w:rsidRPr="00992B72">
        <w:rPr>
          <w:b/>
        </w:rPr>
        <w:t xml:space="preserve"> </w:t>
      </w:r>
      <w:r w:rsidRPr="00992B72">
        <w:rPr>
          <w:b/>
          <w:noProof/>
        </w:rPr>
        <w:t>Pomorski</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Income Mobility and Personal Power – An empirical study</w:t>
      </w:r>
      <w:r w:rsidR="000649EB">
        <w:rPr>
          <w:i/>
          <w:noProof/>
        </w:rPr>
        <w:br/>
      </w:r>
      <w:r w:rsidR="001A3B5F">
        <w:br/>
      </w:r>
      <w:r w:rsidRPr="001A3B5F">
        <w:rPr>
          <w:noProof/>
          <w:sz w:val="20"/>
          <w:szCs w:val="20"/>
        </w:rPr>
        <w:t>One of the most striking issues visible in the National Longitudinal Survey of Youth 1997–2013 is the discrepancy between wages of workers across different income backgrounds. In my research, I build on the existing literature and extend the contingent renewal model of the employment relationship by Bowles</w:t>
      </w:r>
      <w:r w:rsidRPr="001A3B5F">
        <w:rPr>
          <w:i/>
          <w:noProof/>
          <w:sz w:val="20"/>
          <w:szCs w:val="20"/>
        </w:rPr>
        <w:t xml:space="preserve"> et al.</w:t>
      </w:r>
      <w:r w:rsidRPr="001A3B5F">
        <w:rPr>
          <w:noProof/>
          <w:sz w:val="20"/>
          <w:szCs w:val="20"/>
        </w:rPr>
        <w:t xml:space="preserve"> (2001a) to account for distinct degrees of the fatalism of workers across their income backgrounds. An empirical research on panel data from NLSY97 will be conducted to assess the microeconomic model. Furthermore, heterogeneity analysis will explore the impact of findings across different population groups and results will be tested for their robustness with different measures of personal power.</w:t>
      </w:r>
    </w:p>
    <w:p w:rsidR="00E24BD1" w:rsidRPr="001A3B5F" w:rsidRDefault="00E24BD1" w:rsidP="00E24BD1">
      <w:pPr>
        <w:rPr>
          <w:noProof/>
          <w:sz w:val="20"/>
          <w:szCs w:val="20"/>
        </w:rPr>
      </w:pPr>
      <w:r w:rsidRPr="001A3B5F">
        <w:rPr>
          <w:noProof/>
          <w:sz w:val="20"/>
          <w:szCs w:val="20"/>
        </w:rPr>
        <w:t>The paper attempts to show that part of wage discrepancy can be explained by the higher degree of fatalism in workers with poor income background. It might be explained due to low family assets that make them financially insecure. According to this, as workers enrich themselves throughout life, the wage discrepancy should diminish as initial assets become of a lesser proportion of overall net worth. If true, it has implications for the employment contract theory as employers can expect higher productivity from low-income background workers, controlling for factors such as ability or knowledge. This excess productivity converges over time to the workers from high-income backgrounds, as does their lifetime income. The project will attempt to explain possible wage differentials across US citizens from different income backgrounds. It will suggest possible policy implications in terms of promoting non-cognitive skills development, potentially improving the education system.</w:t>
      </w:r>
    </w:p>
    <w:p w:rsidR="00E24BD1" w:rsidRDefault="00E24BD1" w:rsidP="00E24BD1">
      <w:pPr>
        <w:rPr>
          <w:noProof/>
        </w:rPr>
      </w:pPr>
    </w:p>
    <w:p w:rsidR="00E24BD1" w:rsidRPr="00373FA0" w:rsidRDefault="00E24BD1" w:rsidP="00E24BD1">
      <w:r w:rsidRPr="00992B72">
        <w:rPr>
          <w:b/>
          <w:noProof/>
        </w:rPr>
        <w:lastRenderedPageBreak/>
        <w:t>Rebecca</w:t>
      </w:r>
      <w:r w:rsidRPr="00992B72">
        <w:rPr>
          <w:b/>
        </w:rPr>
        <w:t xml:space="preserve"> </w:t>
      </w:r>
      <w:r w:rsidRPr="00992B72">
        <w:rPr>
          <w:b/>
          <w:noProof/>
        </w:rPr>
        <w:t>Vicente</w:t>
      </w:r>
      <w:r w:rsidRPr="00992B72">
        <w:t xml:space="preserve"> (</w:t>
      </w:r>
      <w:r w:rsidRPr="00992B72">
        <w:rPr>
          <w:noProof/>
        </w:rPr>
        <w:t>Baruch College, CUNY</w:t>
      </w:r>
      <w:r w:rsidRPr="00992B72">
        <w:t xml:space="preserve">, </w:t>
      </w:r>
      <w:r w:rsidRPr="00992B72">
        <w:rPr>
          <w:noProof/>
        </w:rPr>
        <w:t>USA</w:t>
      </w:r>
      <w:r w:rsidR="00373FA0">
        <w:t>)</w:t>
      </w:r>
      <w:r w:rsidR="00373FA0">
        <w:br/>
      </w:r>
      <w:r w:rsidRPr="00992B72">
        <w:rPr>
          <w:i/>
          <w:noProof/>
        </w:rPr>
        <w:t>The Trend of Digital Integration within Cultural Institutions</w:t>
      </w:r>
      <w:r w:rsidR="001A3B5F">
        <w:br/>
      </w:r>
      <w:r w:rsidR="00373FA0">
        <w:rPr>
          <w:noProof/>
          <w:sz w:val="20"/>
          <w:szCs w:val="20"/>
        </w:rPr>
        <w:br/>
      </w:r>
      <w:r w:rsidRPr="001A3B5F">
        <w:rPr>
          <w:noProof/>
          <w:sz w:val="20"/>
          <w:szCs w:val="20"/>
        </w:rPr>
        <w:t>The development of the modern museum – beginning with the cabinet of curiosity, progressing to the Salon and transformed by the theory of the white cube – has been driven by historical tension between the visual organisation of the collection and the intended versus actual experience of the viewer. A deliberate organisation of the physical space is intrinsically necessary for developing the overall visitor experience and, therefore, these trends reflect the various approaches museums have taken to better communicate with their audiences. This paper will explore the contemporary integration of technology within the museum as a continuation of this historical tension and discuss its effects on overall visitor experience and museum authority. It will use Bloomberg Connects as the starting point for discussing this modern trend.</w:t>
      </w:r>
    </w:p>
    <w:p w:rsidR="00E24BD1" w:rsidRPr="001A3B5F" w:rsidRDefault="00E24BD1" w:rsidP="00E24BD1">
      <w:pPr>
        <w:rPr>
          <w:sz w:val="20"/>
          <w:szCs w:val="20"/>
        </w:rPr>
      </w:pPr>
      <w:r w:rsidRPr="001A3B5F">
        <w:rPr>
          <w:noProof/>
          <w:sz w:val="20"/>
          <w:szCs w:val="20"/>
        </w:rPr>
        <w:t>Bloomberg Connects, a monetary initiative run through Bloomberg Philanthropies, aims to enhance the museum’s visitor experience through the integration of technology. This paper explores the digital interfaces of the Metropolitan Museum of Art, the Museum of Modern Art, Cooper Hewitt Smithsonian Design Museum, Brooklyn Museum, Solomon R. Guggenheim Museum, and American Museum of Natural History – whose development of technology has been funded in some part by Bloomberg Connects. In doing so, it will not only assess the ways in which each interface engages or inhibits visitor experience, but it will also look at each interface as a reflection of this larger conversation between technology and the traditional institution, as well as how the introduction of technology represents a continuation of historic trends and a break from previous developments.</w:t>
      </w:r>
    </w:p>
    <w:p w:rsidR="00E24BD1" w:rsidRDefault="00E24BD1" w:rsidP="00E24BD1"/>
    <w:p w:rsidR="00E24BD1" w:rsidRPr="00373FA0" w:rsidRDefault="00E24BD1" w:rsidP="00E24BD1">
      <w:r w:rsidRPr="00992B72">
        <w:rPr>
          <w:b/>
          <w:noProof/>
        </w:rPr>
        <w:t>Camila</w:t>
      </w:r>
      <w:r w:rsidRPr="00992B72">
        <w:rPr>
          <w:b/>
        </w:rPr>
        <w:t xml:space="preserve"> </w:t>
      </w:r>
      <w:r w:rsidRPr="00992B72">
        <w:rPr>
          <w:b/>
          <w:noProof/>
        </w:rPr>
        <w:t>Fernandez</w:t>
      </w:r>
      <w:r>
        <w:rPr>
          <w:b/>
          <w:noProof/>
        </w:rPr>
        <w:t xml:space="preserve">, </w:t>
      </w:r>
      <w:r w:rsidRPr="00E24BD1">
        <w:rPr>
          <w:b/>
          <w:noProof/>
        </w:rPr>
        <w:t>Desiree Peña and Cheryl Lynch</w:t>
      </w:r>
      <w:r w:rsidR="001A3B5F">
        <w:rPr>
          <w:b/>
          <w:noProof/>
        </w:rPr>
        <w:t xml:space="preserve"> </w:t>
      </w:r>
      <w:r w:rsidRPr="00992B72">
        <w:t>(</w:t>
      </w:r>
      <w:r w:rsidRPr="00992B72">
        <w:rPr>
          <w:noProof/>
        </w:rPr>
        <w:t>Baruch College, CUNY</w:t>
      </w:r>
      <w:r w:rsidRPr="00992B72">
        <w:t xml:space="preserve">, </w:t>
      </w:r>
      <w:r w:rsidRPr="00992B72">
        <w:rPr>
          <w:noProof/>
        </w:rPr>
        <w:t>USA</w:t>
      </w:r>
      <w:r w:rsidR="00373FA0">
        <w:t>)</w:t>
      </w:r>
      <w:r w:rsidR="00373FA0">
        <w:br/>
      </w:r>
      <w:r w:rsidRPr="00992B72">
        <w:rPr>
          <w:i/>
          <w:noProof/>
        </w:rPr>
        <w:t>Public–Private Partnership Boston Housing Authority</w:t>
      </w:r>
      <w:r w:rsidR="001A3B5F">
        <w:br/>
      </w:r>
      <w:r w:rsidR="00373FA0">
        <w:rPr>
          <w:noProof/>
          <w:sz w:val="20"/>
          <w:szCs w:val="20"/>
        </w:rPr>
        <w:br/>
      </w:r>
      <w:r w:rsidRPr="001A3B5F">
        <w:rPr>
          <w:noProof/>
          <w:sz w:val="20"/>
          <w:szCs w:val="20"/>
        </w:rPr>
        <w:t>The Boston Housing Authority (BHA) is a city agency that provides subsidised housing to over 58,000 residents across 63 developments. If federal funding were to decline, BHA could lose financial sustainability, which would directly translate into the inability to maintain the upkeep of its housing developments.</w:t>
      </w:r>
    </w:p>
    <w:p w:rsidR="00E24BD1" w:rsidRPr="001A3B5F" w:rsidRDefault="00E24BD1" w:rsidP="00E24BD1">
      <w:pPr>
        <w:rPr>
          <w:noProof/>
          <w:sz w:val="20"/>
          <w:szCs w:val="20"/>
        </w:rPr>
      </w:pPr>
      <w:r w:rsidRPr="001A3B5F">
        <w:rPr>
          <w:noProof/>
          <w:sz w:val="20"/>
          <w:szCs w:val="20"/>
        </w:rPr>
        <w:t>Our research group developed a pilot project as a hypothetical solution with the goal of creating a mutually beneficial public–private partnership that would transfer 60% ownership of one BHA development to the private developer, Boston Capital, in exchange for financing the renovation costs. This mixed-finance model, originally introduced through the federal HOPE IV program, has successfully allowed Boston to produce more than 2300 housing units in the past 15 years.</w:t>
      </w:r>
    </w:p>
    <w:p w:rsidR="00E24BD1" w:rsidRPr="001A3B5F" w:rsidRDefault="00E24BD1" w:rsidP="00E24BD1">
      <w:pPr>
        <w:rPr>
          <w:noProof/>
          <w:sz w:val="20"/>
          <w:szCs w:val="20"/>
        </w:rPr>
      </w:pPr>
      <w:r w:rsidRPr="001A3B5F">
        <w:rPr>
          <w:noProof/>
          <w:sz w:val="20"/>
          <w:szCs w:val="20"/>
        </w:rPr>
        <w:t>Our project, named Greater Roxbury, proposes to transform five dilapidated buildings into green, mixed-income and mixed-use (commercial and residential) spaces. Unlike regular public–private developments, our project would create a Community Benefit Agreement to ensure the community’s engagement. Boston Capital would have to make a $6.2 million investment. Rehabilitating existing apartments, transforming the first floors into commercial units and constructing 50 additional units would cost $15 million. Separate from Boston Capital’s investment, in FY1, BHA would bring in $10.5 from public and private grants and rent from the commercial spaces. By the third year, it is expected that Boston Capital would receive a 7% return on investment and an annual long-term gain of $2.1 million.</w:t>
      </w:r>
    </w:p>
    <w:p w:rsidR="00E24BD1" w:rsidRPr="001A3B5F" w:rsidRDefault="00E24BD1" w:rsidP="00E24BD1">
      <w:pPr>
        <w:rPr>
          <w:sz w:val="20"/>
          <w:szCs w:val="20"/>
        </w:rPr>
      </w:pPr>
      <w:r w:rsidRPr="001A3B5F">
        <w:rPr>
          <w:noProof/>
          <w:sz w:val="20"/>
          <w:szCs w:val="20"/>
        </w:rPr>
        <w:t>Profit projections were based on the research of construction and operational expenses as well as realistic revenue expectations. To further enhance the project’s feasibility, we prepared a risk assessment, and marketing and collaborations plans. By addressing the project’s feasibility, the goal is to replicate this pilot project across cities and contribute towards better social welfare policies. Ultimately, public–private developments would allow cities to rehabilitate public housing and improve the quality of life of low-income residents.</w:t>
      </w:r>
    </w:p>
    <w:p w:rsidR="001A3B5F" w:rsidRDefault="001A3B5F" w:rsidP="001A3B5F">
      <w:pPr>
        <w:rPr>
          <w:b/>
          <w:noProof/>
        </w:rPr>
      </w:pPr>
    </w:p>
    <w:p w:rsidR="001A3B5F" w:rsidRPr="00373FA0" w:rsidRDefault="001A3B5F" w:rsidP="001A3B5F">
      <w:r w:rsidRPr="00992B72">
        <w:rPr>
          <w:b/>
          <w:noProof/>
        </w:rPr>
        <w:lastRenderedPageBreak/>
        <w:t>Jiah Yen</w:t>
      </w:r>
      <w:r w:rsidRPr="00992B72">
        <w:rPr>
          <w:b/>
        </w:rPr>
        <w:t xml:space="preserve"> </w:t>
      </w:r>
      <w:r w:rsidRPr="00992B72">
        <w:rPr>
          <w:b/>
          <w:noProof/>
        </w:rPr>
        <w:t>Lee</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‘Bang’ the Bank – Control or submit?</w:t>
      </w:r>
      <w:r>
        <w:br/>
      </w:r>
      <w:r w:rsidR="00373FA0">
        <w:rPr>
          <w:noProof/>
          <w:sz w:val="20"/>
          <w:szCs w:val="20"/>
        </w:rPr>
        <w:br/>
      </w:r>
      <w:r w:rsidRPr="001A3B5F">
        <w:rPr>
          <w:noProof/>
          <w:sz w:val="20"/>
          <w:szCs w:val="20"/>
        </w:rPr>
        <w:t>This paper aims to discuss the consequences of ‘financialisation’ – the domination of financial intermediaries, in particular, investment banks in contributing to ‘usury’ and the increasing wealth gap. While existing literature, especially after the Kay Review, has focused on the influences of institutional shareholders on companies, this paper primarily explores ‘financialisation’ from the perspective of wage-earners, i.e. those who trust their funds with financial intermediaries. This paper will then argue that the dominance of financial intermediaries in the investment chain, both in exerting pressure on the companies and controlling information in manipulating stock prices, is detrimental on wage-earners.</w:t>
      </w:r>
    </w:p>
    <w:p w:rsidR="001A3B5F" w:rsidRPr="001A3B5F" w:rsidRDefault="001A3B5F" w:rsidP="001A3B5F">
      <w:pPr>
        <w:rPr>
          <w:noProof/>
          <w:sz w:val="20"/>
          <w:szCs w:val="20"/>
        </w:rPr>
      </w:pPr>
      <w:r w:rsidRPr="001A3B5F">
        <w:rPr>
          <w:noProof/>
          <w:sz w:val="20"/>
          <w:szCs w:val="20"/>
        </w:rPr>
        <w:t>The argument has three sections: firstly, in light of England’s determination to remain the global financial hub as emphasised in the recently issued White Paper on Brexit and the shareholder-centric corporate governance culture, it aims to demonstrate how ‘comply or explain’ and the facilitation of hostile takeovers allowed investment banks to dominate the market control, hence exerting pressures on the companies to pursue short-termism. The second section presents data on remuneration packages in investment banking, and the increasing wealth gap in the United Kingdom, to show that the dominance of financial intermediaries through information asymmetry has contributed to moral hazard. This section also explains the attractiveness of the remuneration package towards students. Finally, this paper attempts to consolidate the proposed reforms from (1) the society (as opposed to the banking regulation) perspective – societal awareness on the comprehension of risk per expected return, and (2) the law –the imposition of tax, minimum capital requirement and change in the regulatory philosophy of FCA and PRA.</w:t>
      </w:r>
    </w:p>
    <w:p w:rsidR="001A3B5F" w:rsidRPr="001A3B5F" w:rsidRDefault="001A3B5F" w:rsidP="001A3B5F">
      <w:pPr>
        <w:rPr>
          <w:sz w:val="20"/>
          <w:szCs w:val="20"/>
        </w:rPr>
      </w:pPr>
      <w:r w:rsidRPr="001A3B5F">
        <w:rPr>
          <w:noProof/>
          <w:sz w:val="20"/>
          <w:szCs w:val="20"/>
        </w:rPr>
        <w:t>In conclusion, drawing all three sections together, it is submitted that all the proposed reforms are unlikely to happen given the bank’s superimposition ability on a nation’s economy, especially in the climate of Brexit.</w:t>
      </w:r>
    </w:p>
    <w:p w:rsidR="00E24BD1" w:rsidRPr="00E24BD1" w:rsidRDefault="00E24BD1" w:rsidP="00E24BD1">
      <w:pPr>
        <w:rPr>
          <w:i/>
        </w:rPr>
      </w:pPr>
    </w:p>
    <w:p w:rsidR="003E5931" w:rsidRDefault="00075D7A" w:rsidP="004C12E5">
      <w:pPr>
        <w:pStyle w:val="Heading1"/>
      </w:pPr>
      <w:bookmarkStart w:id="97" w:name="_Toc501711981"/>
      <w:r>
        <w:t>P</w:t>
      </w:r>
      <w:r w:rsidR="00E24BD1">
        <w:t>OSTER PRESENTATIONS</w:t>
      </w:r>
      <w:r w:rsidR="00CD696E">
        <w:t xml:space="preserve"> (All Institutions)</w:t>
      </w:r>
      <w:bookmarkEnd w:id="97"/>
    </w:p>
    <w:p w:rsidR="00CD696E" w:rsidRDefault="00CD696E" w:rsidP="00CD696E"/>
    <w:p w:rsidR="00B74865" w:rsidRPr="00992B72" w:rsidRDefault="00B74865" w:rsidP="00B74865">
      <w:r w:rsidRPr="00992B72">
        <w:rPr>
          <w:b/>
          <w:noProof/>
        </w:rPr>
        <w:t>Saif</w:t>
      </w:r>
      <w:r w:rsidRPr="00992B72">
        <w:rPr>
          <w:b/>
        </w:rPr>
        <w:t xml:space="preserve"> </w:t>
      </w:r>
      <w:r w:rsidRPr="00992B72">
        <w:rPr>
          <w:b/>
          <w:noProof/>
        </w:rPr>
        <w:t>Ahmed</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Engineer Plants with Durable Resistance</w:t>
      </w:r>
    </w:p>
    <w:p w:rsidR="00B74865" w:rsidRPr="00373FA0" w:rsidRDefault="00B74865" w:rsidP="00B74865">
      <w:pPr>
        <w:rPr>
          <w:sz w:val="20"/>
          <w:szCs w:val="20"/>
        </w:rPr>
      </w:pPr>
      <w:r w:rsidRPr="00373FA0">
        <w:rPr>
          <w:noProof/>
          <w:sz w:val="20"/>
          <w:szCs w:val="20"/>
        </w:rPr>
        <w:t>Plants are constantly exposed to a variety of environmental challenges, including pathogenic microbes. Without the adaptive immunity mechanisms of vertebrates, plants rely solely on innate immune responses for defence against pathogens. The field of plant-microbe interactions has made impressive progress over the last 20 years, revealing the two-step basic architecture of plant immune system. Genetic and yeast two-hybrid screens have been instrumental in the discovery of numerous extracellular and intracellular immune receptors. Despite our advances in the identification of immune receptors, with high potential for agricultural use, an apparent gap exists in our understanding of how activation of receptors leads to functional plant immunity. The focus of this proposal is to elucidate the molecular mechanisms bridging the gap between activated receptors and downstream cascades, a vital step into engineering plants with durable resistance.</w:t>
      </w:r>
    </w:p>
    <w:p w:rsidR="00B74865" w:rsidRDefault="00B74865" w:rsidP="00B74865"/>
    <w:p w:rsidR="00B74865" w:rsidRPr="00B94370" w:rsidRDefault="00B74865" w:rsidP="00B74865">
      <w:r w:rsidRPr="00B94370">
        <w:rPr>
          <w:b/>
          <w:noProof/>
        </w:rPr>
        <w:t>Emily</w:t>
      </w:r>
      <w:r w:rsidRPr="00B94370">
        <w:rPr>
          <w:b/>
        </w:rPr>
        <w:t xml:space="preserve"> </w:t>
      </w:r>
      <w:r w:rsidRPr="00B94370">
        <w:rPr>
          <w:b/>
          <w:noProof/>
        </w:rPr>
        <w:t>Bassett</w:t>
      </w:r>
      <w:r w:rsidRPr="00B94370">
        <w:t xml:space="preserve"> (</w:t>
      </w:r>
      <w:r w:rsidRPr="00B94370">
        <w:rPr>
          <w:noProof/>
        </w:rPr>
        <w:t>University of Warwick</w:t>
      </w:r>
      <w:r w:rsidRPr="00B94370">
        <w:t xml:space="preserve">, </w:t>
      </w:r>
      <w:r w:rsidRPr="00B94370">
        <w:rPr>
          <w:noProof/>
        </w:rPr>
        <w:t>UK</w:t>
      </w:r>
      <w:r w:rsidR="00373FA0">
        <w:t>)</w:t>
      </w:r>
      <w:r w:rsidR="00373FA0">
        <w:br/>
      </w:r>
      <w:r w:rsidRPr="00B94370">
        <w:rPr>
          <w:i/>
          <w:noProof/>
        </w:rPr>
        <w:t>At What Point Are Parent–Child Relationships Overturned by Other Considerations?</w:t>
      </w:r>
    </w:p>
    <w:p w:rsidR="00B74865" w:rsidRPr="00373FA0" w:rsidRDefault="00B74865" w:rsidP="00B74865">
      <w:pPr>
        <w:rPr>
          <w:sz w:val="20"/>
          <w:szCs w:val="20"/>
        </w:rPr>
      </w:pPr>
      <w:r w:rsidRPr="00373FA0">
        <w:rPr>
          <w:noProof/>
          <w:sz w:val="20"/>
          <w:szCs w:val="20"/>
        </w:rPr>
        <w:t xml:space="preserve">This project looks at the role of parent–child relationships over time in relation to moral duties. Society as it currently stands is very much concerned with liberal notions of the individual as alienated from their special relationships, particularly in commonly accepted moral theory. Even if we were to accept certain forms of extra moral obligations placed upon us by special relationships, the ramifications of accepting these, and to what extent these do and should hold, remain unclear. With reference to the argument put forward by </w:t>
      </w:r>
      <w:r w:rsidRPr="00373FA0">
        <w:rPr>
          <w:noProof/>
          <w:sz w:val="20"/>
          <w:szCs w:val="20"/>
        </w:rPr>
        <w:lastRenderedPageBreak/>
        <w:t>Brighouse and Swift on varying forms of parental partiality, this project will deconstruct their position to examine the underlying intuitions for their conclusion. As traditional rebuttals of this line of argumentation typically rely on at least a refutation of complete parental partiality, this study seeks to look at what the nature of this partiality is. By concluding that it is derived for the most part from a position of responsibility, this project looks to support that such considerations should have an influential role in moral decision-making.</w:t>
      </w:r>
    </w:p>
    <w:p w:rsidR="00B74865" w:rsidRPr="00373FA0" w:rsidRDefault="00B74865" w:rsidP="00B74865">
      <w:pPr>
        <w:rPr>
          <w:sz w:val="20"/>
          <w:szCs w:val="20"/>
        </w:rPr>
      </w:pPr>
    </w:p>
    <w:p w:rsidR="00B74865" w:rsidRPr="00992B72" w:rsidRDefault="00B74865" w:rsidP="00B74865">
      <w:r w:rsidRPr="00992B72">
        <w:rPr>
          <w:b/>
          <w:noProof/>
        </w:rPr>
        <w:t>Eu Meng</w:t>
      </w:r>
      <w:r w:rsidRPr="00992B72">
        <w:rPr>
          <w:b/>
        </w:rPr>
        <w:t xml:space="preserve"> </w:t>
      </w:r>
      <w:r w:rsidRPr="00992B72">
        <w:rPr>
          <w:b/>
          <w:noProof/>
        </w:rPr>
        <w:t>Chong</w:t>
      </w:r>
      <w:r w:rsidRPr="00992B72">
        <w:t xml:space="preserve"> (</w:t>
      </w:r>
      <w:r w:rsidRPr="00992B72">
        <w:rPr>
          <w:noProof/>
        </w:rPr>
        <w:t>University of Warwick</w:t>
      </w:r>
      <w:r w:rsidRPr="00992B72">
        <w:t xml:space="preserve">, </w:t>
      </w:r>
      <w:r w:rsidRPr="00992B72">
        <w:rPr>
          <w:noProof/>
        </w:rPr>
        <w:t>UK</w:t>
      </w:r>
      <w:r w:rsidRPr="00992B72">
        <w:t>)</w:t>
      </w:r>
      <w:r w:rsidR="00373FA0">
        <w:br/>
      </w:r>
      <w:r w:rsidRPr="00992B72">
        <w:rPr>
          <w:i/>
          <w:noProof/>
        </w:rPr>
        <w:t>Dynamics of Polynomials on Finite Fields and p-adic Numbers</w:t>
      </w:r>
    </w:p>
    <w:p w:rsidR="00B74865" w:rsidRPr="00373FA0" w:rsidRDefault="00B74865" w:rsidP="00B74865">
      <w:pPr>
        <w:rPr>
          <w:noProof/>
          <w:sz w:val="20"/>
          <w:szCs w:val="20"/>
        </w:rPr>
      </w:pPr>
      <w:r w:rsidRPr="00373FA0">
        <w:rPr>
          <w:noProof/>
          <w:sz w:val="20"/>
          <w:szCs w:val="20"/>
        </w:rPr>
        <w:t>We aim to understand the dynamics of polynomial functions over p-adic number fields, which is an area of active research in number theory.</w:t>
      </w:r>
    </w:p>
    <w:p w:rsidR="00B74865" w:rsidRPr="00373FA0" w:rsidRDefault="00B74865" w:rsidP="00B74865">
      <w:pPr>
        <w:rPr>
          <w:noProof/>
          <w:sz w:val="20"/>
          <w:szCs w:val="20"/>
        </w:rPr>
      </w:pPr>
      <w:r w:rsidRPr="00373FA0">
        <w:rPr>
          <w:noProof/>
          <w:sz w:val="20"/>
          <w:szCs w:val="20"/>
        </w:rPr>
        <w:t>In reference to ‘Measurable Dynamics of Simple p-adic Polynomials’ by J. Bryk and C. E. Silva, iteration of some polynomial functions over the p-adic number field has led to some progress in the discovery of interesting results in the density of the output of such iterations in the p-adic number field. This is due to the fact that the distance in p-adics is measured by non-Archimedean norms. Motivated by this, we are using the tools from Ergodic Theory to understand the distribution of some sequences over such number fields.</w:t>
      </w:r>
    </w:p>
    <w:p w:rsidR="00B74865" w:rsidRPr="00373FA0" w:rsidRDefault="00B74865" w:rsidP="00B74865">
      <w:pPr>
        <w:rPr>
          <w:sz w:val="20"/>
          <w:szCs w:val="20"/>
        </w:rPr>
      </w:pPr>
      <w:r w:rsidRPr="00373FA0">
        <w:rPr>
          <w:noProof/>
          <w:sz w:val="20"/>
          <w:szCs w:val="20"/>
        </w:rPr>
        <w:t>This project will give us the insight into understanding the behaviour of sequences of numbers in terms of its distributions over the p-adic number field, especially when we vary the values of a prime number p, assigned to the fields. Furthermore, this project lies in the field of the Arithmetic Dynamics, which is an amalgamation of the two major fields of mathematics: Dynamical Systems and Number Theory. Such a field has gained much interest in research as it might provide insight into real-world problems, including the study of climate, financial markets and cryptography.</w:t>
      </w:r>
    </w:p>
    <w:p w:rsidR="00B74865" w:rsidRDefault="00B74865" w:rsidP="00B74865"/>
    <w:p w:rsidR="00B74865" w:rsidRPr="00992B72" w:rsidRDefault="00B74865" w:rsidP="00B74865">
      <w:r w:rsidRPr="00992B72">
        <w:rPr>
          <w:b/>
        </w:rPr>
        <w:t>Matthew Clayton</w:t>
      </w:r>
      <w:r w:rsidRPr="00992B72">
        <w:rPr>
          <w:rFonts w:ascii="Calibri" w:eastAsia="Times New Roman" w:hAnsi="Calibri" w:cs="Calibri"/>
          <w:b/>
          <w:lang w:eastAsia="en-GB"/>
        </w:rPr>
        <w:t xml:space="preserve"> </w:t>
      </w:r>
      <w:r w:rsidR="00373FA0">
        <w:t>(Warwick University, UK)</w:t>
      </w:r>
      <w:r w:rsidR="00373FA0">
        <w:br/>
      </w:r>
      <w:r w:rsidRPr="00992B72">
        <w:rPr>
          <w:i/>
          <w:noProof/>
        </w:rPr>
        <w:t>Optimisation of Novel Small Molecule Antivirals</w:t>
      </w:r>
    </w:p>
    <w:p w:rsidR="00B74865" w:rsidRPr="00373FA0" w:rsidRDefault="00B74865" w:rsidP="00B74865">
      <w:pPr>
        <w:jc w:val="both"/>
        <w:rPr>
          <w:sz w:val="20"/>
          <w:szCs w:val="20"/>
        </w:rPr>
      </w:pPr>
      <w:r w:rsidRPr="00373FA0">
        <w:rPr>
          <w:sz w:val="20"/>
          <w:szCs w:val="20"/>
        </w:rPr>
        <w:t>Human Respiratory Syncytial Virus (hRSV) causes severe bronchiolitis in susceptible populations, particularly babies and the elderly, and is the second largest cause of death in post-neonatal infants under one year of age worldwide. There is currently no vaccine. Easton, Gould and Marsh have found that inhibition of DDX3X, a host RNA helicase that the virus is obliged to use, prevents the expression of viral proteins, thus preventing the virus from reproducing. Pre-clinical studies have shown that DDX3X inhibitors reduce the severity of hRSV. Three novel compounds, AJR-1, AJR-2 and AJR-4 – structurally related to inhibitors active against infections including dengue and West Nile – virus are studied herein and are of interest as potential broad-spectrum antivirals.</w:t>
      </w:r>
    </w:p>
    <w:p w:rsidR="00B74865" w:rsidRPr="00373FA0" w:rsidRDefault="00B74865" w:rsidP="00B74865">
      <w:pPr>
        <w:jc w:val="both"/>
        <w:rPr>
          <w:sz w:val="20"/>
          <w:szCs w:val="20"/>
        </w:rPr>
      </w:pPr>
      <w:r w:rsidRPr="00373FA0">
        <w:rPr>
          <w:sz w:val="20"/>
          <w:szCs w:val="20"/>
        </w:rPr>
        <w:t>In-silico bioinformatic tools were investigated as a method for identifying and optimising novel compounds for activity against hRSV as well as predicting their likely uptake and metabolism routes. By looking at known compound-transporter interactions in open source databases, uptake routes for the similar novel compounds were suggested. Compounds known to have activity with the predicted transporter were then identified and by comparing their ADME (absorption, distribution, metabolism and excretion) properties to those of the novel inhibitors, commercially available compounds were identified which may show activity against hRSV and will be acquired and tested in the future. In-vitro assays of the three novel inhibitors were also performed on immortalised human cell lines infected with hRSV.</w:t>
      </w:r>
    </w:p>
    <w:p w:rsidR="00B74865" w:rsidRDefault="00B74865" w:rsidP="00B74865"/>
    <w:p w:rsidR="00B74865" w:rsidRPr="00992B72" w:rsidRDefault="00B74865" w:rsidP="00B74865">
      <w:r w:rsidRPr="00992B72">
        <w:rPr>
          <w:b/>
          <w:noProof/>
        </w:rPr>
        <w:t>Claudine</w:t>
      </w:r>
      <w:r w:rsidRPr="00992B72">
        <w:rPr>
          <w:b/>
        </w:rPr>
        <w:t xml:space="preserve"> </w:t>
      </w:r>
      <w:r w:rsidRPr="00992B72">
        <w:rPr>
          <w:b/>
          <w:noProof/>
        </w:rPr>
        <w:t>Davies-Parmenter</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‘In Jogja, I Am Free’: Colonial Footprints on Self Expression, Art and Freedom in Yogyakarta Today</w:t>
      </w:r>
    </w:p>
    <w:p w:rsidR="00B74865" w:rsidRPr="00373FA0" w:rsidRDefault="00B74865" w:rsidP="00B74865">
      <w:pPr>
        <w:rPr>
          <w:sz w:val="20"/>
          <w:szCs w:val="20"/>
        </w:rPr>
      </w:pPr>
      <w:r w:rsidRPr="00373FA0">
        <w:rPr>
          <w:noProof/>
          <w:sz w:val="20"/>
          <w:szCs w:val="20"/>
        </w:rPr>
        <w:t xml:space="preserve">Yogyakarta hosts a vibrant urban art culture. Given the wider context of Java’s strong religious background and complex colonial history, this phenomenon appears stronger and possibly out of place. My research delves </w:t>
      </w:r>
      <w:r w:rsidRPr="00373FA0">
        <w:rPr>
          <w:noProof/>
          <w:sz w:val="20"/>
          <w:szCs w:val="20"/>
        </w:rPr>
        <w:lastRenderedPageBreak/>
        <w:t>into the role Yogyakarta played in the colonial liberation of Indonesia during the Indonesia National Revolution (1945–1949) and explores whether this can be accountable for the freedom that is experienced today by urban artists. Due to the breadth that urban art covers, I chose to specialise in street art (graffiti) because the act of street art in itself is one of defiance and personal liberation. I used interviews with both street artists and professors at Gadjah Mada University in combination with archival research to understand the how Yogyakarta helped in the war efforts along with the characteristics of urban art culture today. I discovered that it was the self-mobilising youth into ‘youth groups’ in Yogyakarta that fought both in combat and as political actors of change. I observed changing perceptions of freedom, murals that were scribed on the walls campaigning for literal freedom from the colonial powers during the revolution have transpired into a figurative freedom for individuality. Although artists today do not personally reflect on Yogyakarta’s role in the liberation of Indonesia, there is a mutual understanding that art is an expression of identity, and identity can be weakened or strengthened with the invasion or liberation from a coloniser. This research can imply that cities which experience active art cultures may have roots of freedom/liberation embedded within their history, which should be followed up with further investigation.</w:t>
      </w:r>
    </w:p>
    <w:p w:rsidR="00B74865" w:rsidRDefault="00B74865" w:rsidP="00B74865"/>
    <w:p w:rsidR="00B74865" w:rsidRPr="00992B72" w:rsidRDefault="00B74865" w:rsidP="00B74865">
      <w:r w:rsidRPr="00992B72">
        <w:rPr>
          <w:b/>
          <w:noProof/>
        </w:rPr>
        <w:t>Emma</w:t>
      </w:r>
      <w:r w:rsidRPr="00992B72">
        <w:rPr>
          <w:b/>
        </w:rPr>
        <w:t xml:space="preserve"> </w:t>
      </w:r>
      <w:r w:rsidRPr="00992B72">
        <w:rPr>
          <w:b/>
          <w:noProof/>
        </w:rPr>
        <w:t>Dutton</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Understanding Public Resource Equity in New York City</w:t>
      </w:r>
    </w:p>
    <w:p w:rsidR="00B74865" w:rsidRPr="00373FA0" w:rsidRDefault="00B74865" w:rsidP="00B74865">
      <w:pPr>
        <w:rPr>
          <w:sz w:val="20"/>
          <w:szCs w:val="20"/>
        </w:rPr>
      </w:pPr>
      <w:r w:rsidRPr="00373FA0">
        <w:rPr>
          <w:noProof/>
          <w:sz w:val="20"/>
          <w:szCs w:val="20"/>
        </w:rPr>
        <w:t>This project documented in this report aimed to understand the equity of public resources in the context of New York City. A measure for this equity was derived by quantifying the accessibility that citizens had to a variety of state provided facilities across all five boroughs. Key themes were identified to guide analysis, namely educational standard, environmental impacts, healthcare provisions, transport quality and accessibility to public services. Data representing these key themes was sourced to provide the scope of the project, and in turn served as input to the system developed. This system contained a number of analytical scripts that utilised current practices in the data science discipline. In particular, a variety of visualisations was created using the Plotly graphing library. These visualisations were interesting and dynamic, and told a story about the lives of New York residents through emerging patterns and clusters of behaviour. The results gained from this highlighted that there were areas of inequity in parts of the city. For example, Manhattan had a disproportionally low number of firefighting provisions in comparison to its population, especially downtown. Additionally, it was observed that Brooklyn residents had the lowest access to mental-health facilities compared to any other borough. These results inspired a set of recommendations to be made, which indicated possible changes to public policy which could realign the balance of equity in favour of more people across the city of New York.</w:t>
      </w:r>
    </w:p>
    <w:p w:rsidR="00B74865" w:rsidRDefault="00B74865" w:rsidP="00B74865"/>
    <w:p w:rsidR="00B94370" w:rsidRPr="00992B72" w:rsidRDefault="00B94370" w:rsidP="00B94370">
      <w:r w:rsidRPr="00992B72">
        <w:rPr>
          <w:b/>
          <w:noProof/>
        </w:rPr>
        <w:t>Frantisek</w:t>
      </w:r>
      <w:r w:rsidRPr="00992B72">
        <w:rPr>
          <w:b/>
        </w:rPr>
        <w:t xml:space="preserve"> </w:t>
      </w:r>
      <w:r w:rsidRPr="00992B72">
        <w:rPr>
          <w:b/>
          <w:noProof/>
        </w:rPr>
        <w:t>Friedl</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The Use of Evolutionary Algorithms in the Design of Investment Strategies</w:t>
      </w:r>
    </w:p>
    <w:p w:rsidR="00B94370" w:rsidRPr="00373FA0" w:rsidRDefault="00B94370" w:rsidP="00B94370">
      <w:pPr>
        <w:rPr>
          <w:sz w:val="20"/>
          <w:szCs w:val="20"/>
        </w:rPr>
      </w:pPr>
      <w:r w:rsidRPr="00373FA0">
        <w:rPr>
          <w:noProof/>
          <w:sz w:val="20"/>
          <w:szCs w:val="20"/>
        </w:rPr>
        <w:t xml:space="preserve">When searching for viable investment strategies, researchers typically postulate a hypothesis and proceed to test it with data. A proportion of these studies uses a data mining approach instead, where non-trivial economic relationships are identified through computer optimisation, but no initial hypothesis is formed to explain them. While this approach is often quicker to carry out, investment strategies designed in this way are typically not very robust as even a small change in the underlying data affects their performance significantly. Therefore, these findings typically lack future predictive power. My research is going to be similar to the data mining approach but will use evolutionary algorithms instead of traditional methods. Such algorithms randomly select several predefined parameters and further combine them together to maximise their performance. These findings are typically more robust to changes in the underlying data and therefore are more likely to have future predictive power. The optimisation process itself also becomes computationally much more efficient as evolutionary algorithms benefit from chance. This enables them to identify viable investment strategies faster than the use of traditional data mining methods. The findings of this research will </w:t>
      </w:r>
      <w:r w:rsidRPr="00373FA0">
        <w:rPr>
          <w:noProof/>
          <w:sz w:val="20"/>
          <w:szCs w:val="20"/>
        </w:rPr>
        <w:lastRenderedPageBreak/>
        <w:t>be further subjected to extensive statistical testing to maximise the likelihood of their future predictive power and to minimise the risk of over-optimisation which is typical for data mining.</w:t>
      </w:r>
    </w:p>
    <w:p w:rsidR="00B94370" w:rsidRDefault="00B94370" w:rsidP="00B74865"/>
    <w:p w:rsidR="00B94370" w:rsidRPr="00B94370" w:rsidRDefault="00B94370" w:rsidP="00B94370">
      <w:r w:rsidRPr="00B94370">
        <w:rPr>
          <w:b/>
          <w:noProof/>
        </w:rPr>
        <w:t>Zhihua</w:t>
      </w:r>
      <w:r w:rsidRPr="00B94370">
        <w:rPr>
          <w:b/>
        </w:rPr>
        <w:t xml:space="preserve"> </w:t>
      </w:r>
      <w:r w:rsidRPr="00B94370">
        <w:rPr>
          <w:b/>
          <w:noProof/>
        </w:rPr>
        <w:t>Song</w:t>
      </w:r>
      <w:r w:rsidRPr="00B94370">
        <w:t xml:space="preserve"> (</w:t>
      </w:r>
      <w:r w:rsidRPr="00B94370">
        <w:rPr>
          <w:noProof/>
        </w:rPr>
        <w:t>University of Warwick</w:t>
      </w:r>
      <w:r w:rsidRPr="00B94370">
        <w:t xml:space="preserve">, </w:t>
      </w:r>
      <w:r w:rsidRPr="00B94370">
        <w:rPr>
          <w:noProof/>
        </w:rPr>
        <w:t>UK</w:t>
      </w:r>
      <w:r w:rsidR="00373FA0">
        <w:t>)</w:t>
      </w:r>
      <w:r w:rsidR="00373FA0">
        <w:br/>
      </w:r>
      <w:r w:rsidRPr="00B94370">
        <w:rPr>
          <w:i/>
          <w:noProof/>
        </w:rPr>
        <w:t>Quantum Mechanical Simulation of Defects in Ni-Based Superalloys for Improved Turbine Blades</w:t>
      </w:r>
    </w:p>
    <w:p w:rsidR="00B94370" w:rsidRPr="00373FA0" w:rsidRDefault="00B94370" w:rsidP="00B94370">
      <w:pPr>
        <w:rPr>
          <w:noProof/>
          <w:sz w:val="20"/>
          <w:szCs w:val="20"/>
        </w:rPr>
      </w:pPr>
      <w:r w:rsidRPr="00373FA0">
        <w:rPr>
          <w:noProof/>
          <w:sz w:val="20"/>
          <w:szCs w:val="20"/>
        </w:rPr>
        <w:t>Nickel-based superalloys are the best materials for turbine blades yet identified – and most well-known. Such alloys are widely used in load-bearing structures – such as jet engines or gas turbines that have extreme homologous temperatures nearing 90% of the alloys’ melting point – due to its outstanding ability to maintain strength and toughness under high temperature. Each development in Nickel-based superalloys enhances performance of turbine blades. This project intends to further study the atomic-scale mechanism in superalloys, which can lead to a better understanding of the Ni-based superalloys and may even bring new ideas to this field. Such development will eventually help improve the design of turbine blades. Turbine blades after development can be stronger and lighter, thus enabling better design, less fuel consumption and better working conditions. This will mean higher efficiency, lower cost and less pollution in its applications.</w:t>
      </w:r>
    </w:p>
    <w:p w:rsidR="00B94370" w:rsidRPr="00373FA0" w:rsidRDefault="00B94370" w:rsidP="00B94370">
      <w:pPr>
        <w:rPr>
          <w:noProof/>
          <w:sz w:val="20"/>
          <w:szCs w:val="20"/>
        </w:rPr>
      </w:pPr>
      <w:r w:rsidRPr="00373FA0">
        <w:rPr>
          <w:noProof/>
          <w:sz w:val="20"/>
          <w:szCs w:val="20"/>
        </w:rPr>
        <w:t>Superalloy turbine blades in jet engines are giant, single crystals of perfectly aligned atoms. The single-crystal Nickel-based superalloys usually contain a lower concentration of impurities such as Rhenium (Re) and Tungsten (W). Impurities are added to provide the balance of strength and ductility in the Ni-based superalloys. However, the atomic-scale mechanisms of impurities, especially Re, is still in dispute. This project aims to use quantum mechanical (QM) computer simulation based on Density Functional Theory (DFT) to analyse the Ni-based superalloys and compare the results with existing experiments to suggest improvements for new alloy design.</w:t>
      </w:r>
    </w:p>
    <w:p w:rsidR="00B94370" w:rsidRPr="00373FA0" w:rsidRDefault="00B94370" w:rsidP="00B94370">
      <w:pPr>
        <w:rPr>
          <w:sz w:val="20"/>
          <w:szCs w:val="20"/>
        </w:rPr>
      </w:pPr>
      <w:r w:rsidRPr="00373FA0">
        <w:rPr>
          <w:noProof/>
          <w:sz w:val="20"/>
          <w:szCs w:val="20"/>
        </w:rPr>
        <w:t>One attractive part of this project is that it requires a combination of many fascinating subjects, such as material science, mechanical engineering, theoretical physics and computer modelling. Also, the study of Nickel-based superalloys is a very advanced topic; the long lasting mystery of its impurities’ mechanisms makes it most intriguing.</w:t>
      </w:r>
    </w:p>
    <w:p w:rsidR="00B94370" w:rsidRDefault="00B94370" w:rsidP="00B74865"/>
    <w:p w:rsidR="00B94370" w:rsidRPr="00373FA0" w:rsidRDefault="00B94370" w:rsidP="00B94370">
      <w:r w:rsidRPr="00992B72">
        <w:rPr>
          <w:b/>
          <w:noProof/>
        </w:rPr>
        <w:t>Alexandre</w:t>
      </w:r>
      <w:r w:rsidRPr="00992B72">
        <w:rPr>
          <w:b/>
        </w:rPr>
        <w:t xml:space="preserve"> </w:t>
      </w:r>
      <w:r w:rsidRPr="00992B72">
        <w:rPr>
          <w:b/>
          <w:noProof/>
        </w:rPr>
        <w:t>Arsan</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French and British Empire : How finance shaped the Napoleonic Wars (1799–1815)</w:t>
      </w:r>
      <w:r w:rsidR="00373FA0">
        <w:br/>
      </w:r>
      <w:r w:rsidR="00373FA0">
        <w:rPr>
          <w:noProof/>
          <w:sz w:val="20"/>
          <w:szCs w:val="20"/>
        </w:rPr>
        <w:br/>
      </w:r>
      <w:r w:rsidRPr="00373FA0">
        <w:rPr>
          <w:noProof/>
          <w:sz w:val="20"/>
          <w:szCs w:val="20"/>
        </w:rPr>
        <w:t>The Napoleonic Wars differentiate themselves from other conflicts of the same length and intensity by the striking bipolarity between French and British Empire’s war finance regimes. These impacted upon their initial financial system structure, macro-economic development and political stability. We argue that they subsequently had a consequence upon each nation's credibility as a debtor. Given its trusted fiscal history, Britain relied heavily on the financial markets and deepened its account deficit without raising interest rates. It benefitted from rising industrial capitalism and peace-time surplusses. On the other hand, France found itself weakened from its previous institutional and political instability as well as a stagnant agrarian economy, which forced reliance on taxation. Therefore, we argue that there is a strong correlation between wartime finance and conflict outcomes. The financial structures are themselves becoming a target: belligerents implement a strategy of continental blockade that to ‘conquer the sea threw the land’ and recognize the benefits of industrial military production. We argue that it brings the Napoleonic Wars closer to the two major conflicts of the twentieth century from a productivist and financial perspective.</w:t>
      </w:r>
    </w:p>
    <w:p w:rsidR="00B94370" w:rsidRDefault="00B94370" w:rsidP="00B74865"/>
    <w:p w:rsidR="00B94370" w:rsidRPr="00992B72" w:rsidRDefault="00B94370" w:rsidP="00B94370">
      <w:r w:rsidRPr="00992B72">
        <w:rPr>
          <w:b/>
          <w:noProof/>
        </w:rPr>
        <w:t>Megan</w:t>
      </w:r>
      <w:r w:rsidRPr="00992B72">
        <w:rPr>
          <w:b/>
        </w:rPr>
        <w:t xml:space="preserve"> </w:t>
      </w:r>
      <w:r w:rsidRPr="00992B72">
        <w:rPr>
          <w:b/>
          <w:noProof/>
        </w:rPr>
        <w:t>Cole</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Is Macaque Globin Gene Copy Number Variation a Consequence of Malaria Selection?</w:t>
      </w:r>
    </w:p>
    <w:p w:rsidR="00B94370" w:rsidRPr="00373FA0" w:rsidRDefault="00B94370" w:rsidP="00B94370">
      <w:pPr>
        <w:rPr>
          <w:noProof/>
          <w:sz w:val="20"/>
          <w:szCs w:val="20"/>
        </w:rPr>
      </w:pPr>
      <w:r w:rsidRPr="00373FA0">
        <w:rPr>
          <w:noProof/>
          <w:sz w:val="20"/>
          <w:szCs w:val="20"/>
        </w:rPr>
        <w:t xml:space="preserve">In humans, we know that malaria selection can lead to globin gene diversity – most famously, the spread of mutations responsible for sickle cell anaemia. Among other primate species, alpha globin gene variation in the </w:t>
      </w:r>
      <w:r w:rsidRPr="00373FA0">
        <w:rPr>
          <w:noProof/>
          <w:sz w:val="20"/>
          <w:szCs w:val="20"/>
        </w:rPr>
        <w:lastRenderedPageBreak/>
        <w:t>macaque Macaca fascicularis is particularly well studied. We also know that M. fascicularis can be infected with several malaria species in the wild. These factors make it excellent to study further. I will learn to use the program Matlab to carry out the population genetic modelling required for this work.</w:t>
      </w:r>
    </w:p>
    <w:p w:rsidR="00B94370" w:rsidRPr="00373FA0" w:rsidRDefault="00B94370" w:rsidP="00B94370">
      <w:pPr>
        <w:rPr>
          <w:noProof/>
          <w:sz w:val="20"/>
          <w:szCs w:val="20"/>
        </w:rPr>
      </w:pPr>
      <w:r w:rsidRPr="00373FA0">
        <w:rPr>
          <w:noProof/>
          <w:sz w:val="20"/>
          <w:szCs w:val="20"/>
        </w:rPr>
        <w:t>Malaria has a huge impact on public health. In addition to being an interesting comparison with humans, macaques can even transmit malaria to humans (specifically one species of malaria: Plasmodium knowlesi). Gaining a deeper understanding of malaria in macaques will give us transferable data that could eventually be fundamental to (i) understanding malaria genetics in humans, and (ii) understanding zoonotic malaria outbreaks. Furthermore, although M. fascicularis is not endangered, other macaque species are, so the insights gained from this project into macaque malaria and macaque population genetics could also have relevance to conservation.</w:t>
      </w:r>
    </w:p>
    <w:p w:rsidR="00B94370" w:rsidRPr="00373FA0" w:rsidRDefault="00B94370" w:rsidP="00B94370">
      <w:pPr>
        <w:rPr>
          <w:sz w:val="20"/>
          <w:szCs w:val="20"/>
        </w:rPr>
      </w:pPr>
      <w:r w:rsidRPr="00373FA0">
        <w:rPr>
          <w:noProof/>
          <w:sz w:val="20"/>
          <w:szCs w:val="20"/>
        </w:rPr>
        <w:t>I am enthusiastic to gain further knowledge of a disease-related topic, since the study of disease is an area of biochemistry that I already love. I am also keen to develop further skills in new areas such as being able to develop and interpret computer models, which this specific project will allow me to do. This project allows me to concentrate on a specific area of biology in great detail, which I have yet to gain opportunity of doing.</w:t>
      </w:r>
    </w:p>
    <w:p w:rsidR="00B94370" w:rsidRPr="00B94370" w:rsidRDefault="00B94370" w:rsidP="00B74865">
      <w:pPr>
        <w:rPr>
          <w:color w:val="FF0000"/>
        </w:rPr>
      </w:pPr>
    </w:p>
    <w:p w:rsidR="00B94370" w:rsidRPr="00992B72" w:rsidRDefault="00B94370" w:rsidP="00B94370">
      <w:r w:rsidRPr="00992B72">
        <w:rPr>
          <w:b/>
          <w:noProof/>
        </w:rPr>
        <w:t>Jenifer</w:t>
      </w:r>
      <w:r w:rsidRPr="00992B72">
        <w:rPr>
          <w:b/>
        </w:rPr>
        <w:t xml:space="preserve"> </w:t>
      </w:r>
      <w:r w:rsidRPr="00992B72">
        <w:rPr>
          <w:b/>
          <w:noProof/>
        </w:rPr>
        <w:t>Elmslie</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Mental-Health Culture: The statistical epidemic caused by the psychiatric revolution</w:t>
      </w:r>
    </w:p>
    <w:p w:rsidR="00B94370" w:rsidRPr="00373FA0" w:rsidRDefault="00B94370" w:rsidP="00B94370">
      <w:pPr>
        <w:rPr>
          <w:noProof/>
          <w:sz w:val="20"/>
          <w:szCs w:val="20"/>
        </w:rPr>
      </w:pPr>
      <w:r w:rsidRPr="00373FA0">
        <w:rPr>
          <w:noProof/>
          <w:sz w:val="20"/>
          <w:szCs w:val="20"/>
        </w:rPr>
        <w:t>Are Western societies unhappier and less mentally healthy than they once were? Data would suggest that most countries have experienced higher rates of mental illnesses such as depression, anxiety disorder, ADHD (especially in children), and higher suicide rates from the late 20th to the 21st century. Popular sociological literature such as The Spirit Level concludes that we are becoming more mentally unhealthy and less attentive to our mental health, not funding mental-health research sufficiently (a post hoc ergo propter hoc fallacy). A popular criticism of the UK government is under-funding mental health care as de-politicisation, with campaigns such as the Heads Together Campaign replacing the government in mental-health research funding.</w:t>
      </w:r>
    </w:p>
    <w:p w:rsidR="00B94370" w:rsidRPr="00373FA0" w:rsidRDefault="00B94370" w:rsidP="00B94370">
      <w:pPr>
        <w:rPr>
          <w:noProof/>
          <w:sz w:val="20"/>
          <w:szCs w:val="20"/>
        </w:rPr>
      </w:pPr>
      <w:r w:rsidRPr="00373FA0">
        <w:rPr>
          <w:noProof/>
          <w:sz w:val="20"/>
          <w:szCs w:val="20"/>
        </w:rPr>
        <w:t>However, contrary to what this might imply without contextual analysis and critical thought, this conclusion is false. In this report, this author intends to discover how the psychiatric revolution of the 1980s led to a false epidemic in mental health diagnoses, skewing data on increased mental disorders. I will draw focus on the USA’s Diagnostic and Statistical Manual of Mental Disorders volumes throughout time (DSM) and the following statistical increase in the number of people diagnosed with mental illnesses.</w:t>
      </w:r>
    </w:p>
    <w:p w:rsidR="00B94370" w:rsidRPr="00373FA0" w:rsidRDefault="00B94370" w:rsidP="00B94370">
      <w:pPr>
        <w:rPr>
          <w:sz w:val="20"/>
          <w:szCs w:val="20"/>
        </w:rPr>
      </w:pPr>
      <w:r w:rsidRPr="00373FA0">
        <w:rPr>
          <w:noProof/>
          <w:sz w:val="20"/>
          <w:szCs w:val="20"/>
        </w:rPr>
        <w:t>I believe that an insufficient amount of research has been conducted linking the changing mental illness classifications and increased mental illness. This research’s impact will be its attempt to debunk the mental-health statistical epidemic and challenge sociological conclusions through focus on literature, historical events and statistics, as well as cultural trends in Western societies (holding the most reliable data).</w:t>
      </w:r>
    </w:p>
    <w:p w:rsidR="00B94370" w:rsidRDefault="00B94370" w:rsidP="00B74865"/>
    <w:p w:rsidR="00B94370" w:rsidRPr="00992B72" w:rsidRDefault="00B94370" w:rsidP="00B94370">
      <w:r w:rsidRPr="00992B72">
        <w:rPr>
          <w:b/>
          <w:noProof/>
        </w:rPr>
        <w:t>Vicky</w:t>
      </w:r>
      <w:r w:rsidRPr="00992B72">
        <w:rPr>
          <w:b/>
        </w:rPr>
        <w:t xml:space="preserve"> </w:t>
      </w:r>
      <w:r w:rsidRPr="00992B72">
        <w:rPr>
          <w:b/>
          <w:noProof/>
        </w:rPr>
        <w:t>Fawcett</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Analysing Data and Identifying Objects From the GOTO Telescope</w:t>
      </w:r>
    </w:p>
    <w:p w:rsidR="00B94370" w:rsidRPr="00373FA0" w:rsidRDefault="00B94370" w:rsidP="00B94370">
      <w:pPr>
        <w:rPr>
          <w:sz w:val="20"/>
          <w:szCs w:val="20"/>
        </w:rPr>
      </w:pPr>
      <w:r w:rsidRPr="00373FA0">
        <w:rPr>
          <w:noProof/>
          <w:sz w:val="20"/>
          <w:szCs w:val="20"/>
        </w:rPr>
        <w:t xml:space="preserve">Gravitational waves are ripples in the curvature of spacetime that propagate at the speed of light, predicted in 1916 in Einstein’s theory of general relativity, and confirmed experimentally in 2016 by the Laser Inferometer Gravitational-Wave Observatory (LIGO). They are generated in gravitational interactions – the biggest being the collision of two black holes – and their detection is the motivation behind this project. The Gravitational-Wave Optical Transient Observer (GOTO) is a wide-field robotic telescope that will be used to identify the optical counterparts to these gravitational-wave events by mapping the large source regions on the sky that accompany the detections of gravitational waves with the LIGO and VIRGO projects. This research will consist of analysing the first wave of images taken by the telescope and identifying them. There will also be an emphasis in advising what parts of the analysis process need to be automated so that future analysis can be accomplished at a much higher and efficient rate. This research will help the GOTO project towards its aim of </w:t>
      </w:r>
      <w:r w:rsidRPr="00373FA0">
        <w:rPr>
          <w:noProof/>
          <w:sz w:val="20"/>
          <w:szCs w:val="20"/>
        </w:rPr>
        <w:lastRenderedPageBreak/>
        <w:t>using this new method to probe into the distant universe, and to further our current understanding of the nature of gravity.</w:t>
      </w:r>
    </w:p>
    <w:p w:rsidR="00B94370" w:rsidRDefault="00B94370" w:rsidP="00B74865"/>
    <w:p w:rsidR="00B94370" w:rsidRPr="00373FA0" w:rsidRDefault="00B94370" w:rsidP="00B94370">
      <w:pPr>
        <w:rPr>
          <w:sz w:val="20"/>
          <w:szCs w:val="20"/>
        </w:rPr>
      </w:pPr>
      <w:r w:rsidRPr="00992B72">
        <w:rPr>
          <w:b/>
          <w:noProof/>
        </w:rPr>
        <w:t>Halina-Joy</w:t>
      </w:r>
      <w:r w:rsidRPr="00992B72">
        <w:rPr>
          <w:b/>
        </w:rPr>
        <w:t xml:space="preserve"> </w:t>
      </w:r>
      <w:r w:rsidRPr="00992B72">
        <w:rPr>
          <w:b/>
          <w:noProof/>
        </w:rPr>
        <w:t>Gadbury</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‘Everyone Has a Story but Not Everyone’s Story is Heard’: Examining the role of Paris in Jewish children’s Holocaust memories</w:t>
      </w:r>
      <w:r w:rsidR="00373FA0">
        <w:br/>
      </w:r>
      <w:r w:rsidR="00373FA0">
        <w:br/>
      </w:r>
      <w:r w:rsidRPr="00373FA0">
        <w:rPr>
          <w:noProof/>
          <w:sz w:val="20"/>
          <w:szCs w:val="20"/>
        </w:rPr>
        <w:t>While studies of the Holocaust have risen to the forefront of discussions in recent years, the thousands of remaining untold stories of deported Jewish children raise the question of the extent of its true commemoration within Paris today. Comprising several geographical sites of memory, including the Vélodrome d’Hiver in which 12,884 Jewish people were interned during the Occupation, Paris will serve as my backdrop when analysing the ever-changing role of such locations – how they have shaped literature relating to the histories of Jewish children and their importance, or perhaps lack of, in bringing back to life hitherto forgotten individuals.</w:t>
      </w:r>
    </w:p>
    <w:p w:rsidR="00B94370" w:rsidRPr="00373FA0" w:rsidRDefault="00B94370" w:rsidP="00B94370">
      <w:pPr>
        <w:rPr>
          <w:noProof/>
          <w:sz w:val="20"/>
          <w:szCs w:val="20"/>
        </w:rPr>
      </w:pPr>
      <w:r w:rsidRPr="00373FA0">
        <w:rPr>
          <w:noProof/>
          <w:sz w:val="20"/>
          <w:szCs w:val="20"/>
        </w:rPr>
        <w:t>Building on prior studies of post-Holocaust literature, my knowledge will be honed through the examination of the archives based at the Mémorial de la Shoah and Drancy along with the Bibliothèque Nationale de France. This close work within the community will give exposure to the aura of the city itself, thus enabling a comparison to form between my subjective findings and those depicted in literature. A striking example to which I will refer is the hollowness of Paris illustrated in Patrick Modiano’s Dora Bruder. By following the path laid by a second-generation Holocaust author, my research will reveal the extent of the development in Holocaust commemoration 20 years on.</w:t>
      </w:r>
    </w:p>
    <w:p w:rsidR="00B94370" w:rsidRPr="00373FA0" w:rsidRDefault="00B94370" w:rsidP="00B94370">
      <w:pPr>
        <w:rPr>
          <w:sz w:val="20"/>
          <w:szCs w:val="20"/>
        </w:rPr>
      </w:pPr>
      <w:r w:rsidRPr="00373FA0">
        <w:rPr>
          <w:noProof/>
          <w:sz w:val="20"/>
          <w:szCs w:val="20"/>
        </w:rPr>
        <w:t>The research will not only increase awareness of the importance of commemoration by adding to the already existing knowledge in this field, but the possible absence of records may serve as an even more poignant portrayal of the mentality of many Parisians.</w:t>
      </w:r>
    </w:p>
    <w:p w:rsidR="00B94370" w:rsidRPr="00992B72" w:rsidRDefault="00B94370" w:rsidP="00B94370"/>
    <w:p w:rsidR="00B94370" w:rsidRPr="00992B72" w:rsidRDefault="00B94370" w:rsidP="00B94370">
      <w:r w:rsidRPr="00992B72">
        <w:rPr>
          <w:b/>
          <w:noProof/>
        </w:rPr>
        <w:t>Amar</w:t>
      </w:r>
      <w:r w:rsidRPr="00992B72">
        <w:rPr>
          <w:b/>
        </w:rPr>
        <w:t xml:space="preserve"> </w:t>
      </w:r>
      <w:r w:rsidRPr="00992B72">
        <w:rPr>
          <w:b/>
          <w:noProof/>
        </w:rPr>
        <w:t>Hayer</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Reducing Crop Losses from Turnip Yellows Virus (TuYV)</w:t>
      </w:r>
    </w:p>
    <w:p w:rsidR="00B94370" w:rsidRPr="00373FA0" w:rsidRDefault="00B94370" w:rsidP="00B94370">
      <w:pPr>
        <w:rPr>
          <w:sz w:val="20"/>
          <w:szCs w:val="20"/>
        </w:rPr>
      </w:pPr>
      <w:r w:rsidRPr="00373FA0">
        <w:rPr>
          <w:noProof/>
          <w:sz w:val="20"/>
          <w:szCs w:val="20"/>
        </w:rPr>
        <w:t>Turnip yellows virus (TuYV) is an economically important plant virus, transmitted by insect vectors. It affects a wide range of plants in the Brassica genus, including major arable crops such as oilseed rape and vegetable crops such as cabbages, cauliflower and broccoli. The virus is very difficult to identify in crops as it can be symptomless or can cause non-specific symptoms; however, it has been shown to reduce oilseed rape yields by 30% and yield of some brassica vegetables by up to 65%. The aim of the research is to evaluate resistance to the virus in the brassica C genome; this will involve phenotyping F1 plants. Attempts will be made to produce a tagged infectious clone of TuYV in order to investigate the mechanism the resistance. The ultimate aim of the project is to answer the question: can genetics be used to reduce crop losses? The results show that this is indeed possible in certain species and that slight variations are required for each specific strain of virus and each plant species. The development and deployment of these resistant crop varieties will reduce crop losses, reduce the necessity for pesticide sprays and contribute to food security.</w:t>
      </w:r>
    </w:p>
    <w:p w:rsidR="00B94370" w:rsidRDefault="00B94370" w:rsidP="00B74865"/>
    <w:p w:rsidR="00B94370" w:rsidRPr="00992B72" w:rsidRDefault="00B94370" w:rsidP="00B94370">
      <w:r w:rsidRPr="00992B72">
        <w:rPr>
          <w:b/>
          <w:noProof/>
        </w:rPr>
        <w:t>Wing</w:t>
      </w:r>
      <w:r w:rsidRPr="00992B72">
        <w:rPr>
          <w:b/>
        </w:rPr>
        <w:t xml:space="preserve"> </w:t>
      </w:r>
      <w:r w:rsidRPr="00992B72">
        <w:rPr>
          <w:b/>
          <w:noProof/>
        </w:rPr>
        <w:t>Hui</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Bottom-up Depoliticisation: The neo-coloniality of Hong Kong</w:t>
      </w:r>
    </w:p>
    <w:p w:rsidR="00B94370" w:rsidRPr="00373FA0" w:rsidRDefault="00B94370" w:rsidP="00B94370">
      <w:pPr>
        <w:rPr>
          <w:noProof/>
          <w:sz w:val="20"/>
          <w:szCs w:val="20"/>
        </w:rPr>
      </w:pPr>
      <w:r w:rsidRPr="00373FA0">
        <w:rPr>
          <w:noProof/>
          <w:sz w:val="20"/>
          <w:szCs w:val="20"/>
        </w:rPr>
        <w:t xml:space="preserve">Depoliticisation is a relatively new term in the study of politics that emerges from a series of events, such as Global Financial Crisis and climate change. It is commonly understood as a top-down and government-led management tactic that locates incidents and policies outside the political sphere, such that they are no longer relevant to politics or governance. However, this understanding is rather limited subject to a lack of empirical </w:t>
      </w:r>
      <w:r w:rsidRPr="00373FA0">
        <w:rPr>
          <w:noProof/>
          <w:sz w:val="20"/>
          <w:szCs w:val="20"/>
        </w:rPr>
        <w:lastRenderedPageBreak/>
        <w:t>studies. My research project, therefore, investigates the phenomenon of depoliticisation in Hong Kong, specifically as a public management strategy that emerged from the grassroots. Contrary to common understanding, it explores how political projects are actively rendered into purely cultural or social matters actively by political actors and civil society, an alternative form of depoliticisation.</w:t>
      </w:r>
    </w:p>
    <w:p w:rsidR="00B94370" w:rsidRPr="00373FA0" w:rsidRDefault="00B94370" w:rsidP="00B94370">
      <w:pPr>
        <w:rPr>
          <w:sz w:val="20"/>
          <w:szCs w:val="20"/>
        </w:rPr>
      </w:pPr>
      <w:r w:rsidRPr="00373FA0">
        <w:rPr>
          <w:noProof/>
          <w:sz w:val="20"/>
          <w:szCs w:val="20"/>
        </w:rPr>
        <w:t>Using interviews and archival research, this research examines the case of Hong Kong, a former British colony. The practice of depoliticisation is contextualised as a colonial management technique to establish the relationship between depoliticisation and post-colonial studies. Adopting discourse analysis, it seeks to understand how the act of depoliticisation has become a norm through words and rhetoric used in governance. Apart from ongoing border conflicts and underdevelopment, it thereby calls upon academics and international society to contemplate the continuing impacts of colonialism in a different light, especially in terms of political culture and individuals’ mentalities. Finally, this research fosters reflections upon the questions of ‘what is politics?’ and ‘how can we participate in politics?’, particularly in former colonies.</w:t>
      </w:r>
    </w:p>
    <w:p w:rsidR="00B94370" w:rsidRDefault="00B94370" w:rsidP="00B74865"/>
    <w:p w:rsidR="00B94370" w:rsidRPr="00992B72" w:rsidRDefault="00B94370" w:rsidP="00B94370">
      <w:r w:rsidRPr="00992B72">
        <w:rPr>
          <w:b/>
          <w:noProof/>
        </w:rPr>
        <w:t>Annemarie</w:t>
      </w:r>
      <w:r w:rsidRPr="00992B72">
        <w:rPr>
          <w:b/>
        </w:rPr>
        <w:t xml:space="preserve"> </w:t>
      </w:r>
      <w:r w:rsidRPr="00992B72">
        <w:rPr>
          <w:b/>
          <w:noProof/>
        </w:rPr>
        <w:t>Knill</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Challenging the Current Ultrasonic Measurement of Osteoporosis</w:t>
      </w:r>
    </w:p>
    <w:p w:rsidR="00B94370" w:rsidRPr="00373FA0" w:rsidRDefault="00B94370" w:rsidP="00B94370">
      <w:pPr>
        <w:rPr>
          <w:sz w:val="20"/>
          <w:szCs w:val="20"/>
        </w:rPr>
      </w:pPr>
      <w:r w:rsidRPr="00373FA0">
        <w:rPr>
          <w:noProof/>
          <w:sz w:val="20"/>
          <w:szCs w:val="20"/>
        </w:rPr>
        <w:t>The current method used for the diagnosis of osteoporosis uses a pair of single element ultrasonic transducers disposed either side of a heel bone and uses the frequency dependent attenuation measurement to infer the internal structure of the heel bone. This method involves measuring the ultrasonic attenuation (BUA) of bone in order to calculate the bone mineral density (BMD). However, published literature in the area shows that there are discrepancies between the information provided using ultrasonic techniques and those provided using other methods, such as X-ray scans. A proposed explanation is the interference of the cortical end plates of the bone with the measurement of the BUA. This could arise because the ultrasonic properties of the cortical end plates are quite different to those of the internal bone in the heel. The first stage of this research will be to obtain a clear and quantitative result demonstrating this effect. There is possibly a way to compensate for this frequency dependent transmission effect arising from the cortical end plates. The second stage of this research will be to investigate if the use of an ultrasonic phased array could image the cortical end plate and therefore enable corrections to be made to the calculated BUA.</w:t>
      </w:r>
    </w:p>
    <w:p w:rsidR="00B94370" w:rsidRDefault="00B94370" w:rsidP="00B74865"/>
    <w:p w:rsidR="00B94370" w:rsidRPr="00992B72" w:rsidRDefault="00B94370" w:rsidP="00B94370">
      <w:r w:rsidRPr="00992B72">
        <w:rPr>
          <w:b/>
          <w:noProof/>
        </w:rPr>
        <w:t>Beth</w:t>
      </w:r>
      <w:r w:rsidRPr="00992B72">
        <w:rPr>
          <w:b/>
        </w:rPr>
        <w:t xml:space="preserve"> </w:t>
      </w:r>
      <w:r w:rsidRPr="00992B72">
        <w:rPr>
          <w:b/>
          <w:noProof/>
        </w:rPr>
        <w:t>Kynman</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Solving the Impossible: The unique triple star KIC 2856960</w:t>
      </w:r>
    </w:p>
    <w:p w:rsidR="00B94370" w:rsidRPr="00373FA0" w:rsidRDefault="00B94370" w:rsidP="00B94370">
      <w:pPr>
        <w:rPr>
          <w:sz w:val="20"/>
          <w:szCs w:val="20"/>
        </w:rPr>
      </w:pPr>
      <w:r w:rsidRPr="00373FA0">
        <w:rPr>
          <w:noProof/>
          <w:sz w:val="20"/>
          <w:szCs w:val="20"/>
        </w:rPr>
        <w:t>KIC 2856960 is a triple star system, formed of two stars in a tight 6-hour orbit, and a third, more distant star orbiting the binary every 204 days. When viewing this system from the Earth, multiple bizarre eclipses are seen when the binary system passes in front of the third star. In similar cases, geometrical principles can be used to get approximate values of the masses and radii of the three stars. However, previous attempts at calculating these parameters have led to disagreements with fundamental physical laws. My project aims to solve this problem using new photometry, CCD imaging and spectroscopy data that has been collected since the initial research. I will use data-processing techniques to process this data and then analyse the results to produce more precise values and hopefully find a solution to this problem.</w:t>
      </w:r>
    </w:p>
    <w:p w:rsidR="00B94370" w:rsidRDefault="00B94370" w:rsidP="00B74865"/>
    <w:p w:rsidR="00B94370" w:rsidRPr="00992B72" w:rsidRDefault="00B94370" w:rsidP="00B94370">
      <w:r w:rsidRPr="00992B72">
        <w:rPr>
          <w:b/>
          <w:noProof/>
        </w:rPr>
        <w:t>Jessica</w:t>
      </w:r>
      <w:r w:rsidRPr="00992B72">
        <w:rPr>
          <w:b/>
        </w:rPr>
        <w:t xml:space="preserve"> </w:t>
      </w:r>
      <w:r w:rsidRPr="00992B72">
        <w:rPr>
          <w:b/>
          <w:noProof/>
        </w:rPr>
        <w:t>Mann</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The Power of the State over the Individual: A Study of Compulsory National Military Service in Singapore</w:t>
      </w:r>
    </w:p>
    <w:p w:rsidR="00B94370" w:rsidRPr="00373FA0" w:rsidRDefault="00B94370" w:rsidP="00B94370">
      <w:pPr>
        <w:rPr>
          <w:noProof/>
          <w:sz w:val="20"/>
          <w:szCs w:val="20"/>
        </w:rPr>
      </w:pPr>
      <w:r w:rsidRPr="00373FA0">
        <w:rPr>
          <w:noProof/>
          <w:sz w:val="20"/>
          <w:szCs w:val="20"/>
        </w:rPr>
        <w:t xml:space="preserve">National Service continues to be an obligation for the youth of many world nations. Publicly viewed as a service wherein citizens make a positive contribution to their country, it also has strong associations with sociological issues such as citizenship, human rights, nationalism and patriotism. Many countries differ in their </w:t>
      </w:r>
      <w:r w:rsidRPr="00373FA0">
        <w:rPr>
          <w:noProof/>
          <w:sz w:val="20"/>
          <w:szCs w:val="20"/>
        </w:rPr>
        <w:lastRenderedPageBreak/>
        <w:t>National Service programmes, with military National Service being the most controversial and problematic form of enforced service. National Service also remains to be a gendered issue, with many nations requiring only men to serve while women remain exempt.</w:t>
      </w:r>
    </w:p>
    <w:p w:rsidR="00B94370" w:rsidRPr="00373FA0" w:rsidRDefault="00B94370" w:rsidP="00B94370">
      <w:pPr>
        <w:rPr>
          <w:noProof/>
          <w:sz w:val="20"/>
          <w:szCs w:val="20"/>
        </w:rPr>
      </w:pPr>
      <w:r w:rsidRPr="00373FA0">
        <w:rPr>
          <w:noProof/>
          <w:sz w:val="20"/>
          <w:szCs w:val="20"/>
        </w:rPr>
        <w:t>The operation of National Service in Singapore provides a fascinating research example; despite being a metropolitan and economically stable nation state, it falls under an interesting category of nations that enforces compulsory military National Service for more than 18 months. I aim to address, through the qualitative analysis of interviews reinforced by reviewing relevant literature, the fundamental issue of how far the power of the state impacts the individual lives of Singaporean citizens. I will be conducting a series of semi-structured interviews with Singaporean citizens in order to understand how this obligation is viewed, one which often interrupts a young person’s educational or career pathway.</w:t>
      </w:r>
    </w:p>
    <w:p w:rsidR="00B94370" w:rsidRPr="00373FA0" w:rsidRDefault="00B94370" w:rsidP="00B94370">
      <w:pPr>
        <w:rPr>
          <w:sz w:val="20"/>
          <w:szCs w:val="20"/>
        </w:rPr>
      </w:pPr>
      <w:r w:rsidRPr="00373FA0">
        <w:rPr>
          <w:noProof/>
          <w:sz w:val="20"/>
          <w:szCs w:val="20"/>
        </w:rPr>
        <w:t>Most interviewees will have already completed their service time and are therefore able to reflect on how it has affected their lives and sense of duty to the state. I will also conduct interviews with Singaporean females in order to investigate whether the gendered division of service alters different citizens’ perceptions of how much power the state holds over their individual lives.</w:t>
      </w:r>
    </w:p>
    <w:p w:rsidR="00B94370" w:rsidRDefault="00B94370" w:rsidP="00B74865"/>
    <w:p w:rsidR="00B94370" w:rsidRPr="00992B72" w:rsidRDefault="00B94370" w:rsidP="00B94370">
      <w:r w:rsidRPr="00992B72">
        <w:rPr>
          <w:b/>
          <w:noProof/>
        </w:rPr>
        <w:t>Greta</w:t>
      </w:r>
      <w:r w:rsidRPr="00992B72">
        <w:rPr>
          <w:b/>
        </w:rPr>
        <w:t xml:space="preserve"> </w:t>
      </w:r>
      <w:r w:rsidRPr="00992B72">
        <w:rPr>
          <w:b/>
          <w:noProof/>
        </w:rPr>
        <w:t>Mohr</w:t>
      </w:r>
      <w:r w:rsidRPr="00992B72">
        <w:t xml:space="preserve"> (</w:t>
      </w:r>
      <w:r w:rsidRPr="00992B72">
        <w:rPr>
          <w:noProof/>
        </w:rPr>
        <w:t>University of Warwick</w:t>
      </w:r>
      <w:r w:rsidRPr="00992B72">
        <w:t xml:space="preserve">, </w:t>
      </w:r>
      <w:r w:rsidRPr="00992B72">
        <w:rPr>
          <w:noProof/>
        </w:rPr>
        <w:t>UK</w:t>
      </w:r>
      <w:r w:rsidR="00373FA0">
        <w:t>)</w:t>
      </w:r>
      <w:r w:rsidR="00373FA0">
        <w:br/>
      </w:r>
      <w:r w:rsidRPr="00992B72">
        <w:rPr>
          <w:i/>
          <w:noProof/>
        </w:rPr>
        <w:t>Investigation into the Effects of Colour, Configuration and Gender on Subitisation</w:t>
      </w:r>
    </w:p>
    <w:p w:rsidR="00B94370" w:rsidRPr="00373FA0" w:rsidRDefault="00B94370" w:rsidP="00B94370">
      <w:pPr>
        <w:rPr>
          <w:sz w:val="20"/>
          <w:szCs w:val="20"/>
        </w:rPr>
      </w:pPr>
      <w:r w:rsidRPr="00373FA0">
        <w:rPr>
          <w:noProof/>
          <w:sz w:val="20"/>
          <w:szCs w:val="20"/>
        </w:rPr>
        <w:t>Subitization is the process of rapidly and accurately enumerating up to four target items. Two potential mechanisms have been suggested to explain this phenomenon: pattern recognition (increased enumeration due to practice) and the FINST model (limitation in the amount of items we can ‘see’ at a time). Evidence from previous research has been contradictory and inconclusive. To establish which model is superior, we compared the reaction time and subitization range of 36 participants between different dot configurations (patterns they knew well, and unknown patterns). We found that subitization was equally efficient for all configurations – indicating that subitization is not the result of learning (pattern recognition) – and therefore present findings consistent with the FINST model. We also investigated the effect of homogenous and heterogenous target items on subitization to establish whether encoding includes target characteristics. We found RT to be slower for heterogeneous stimuli, suggesting that target characteristics do affect enumeration. However, this difference was only relevant outside of the subitization range, suggesting that subitization is not affected. For the FINST model, this suggests that target characteristics are not included in initial encoding. Moreover, there was no difference in RT between male and female participants. These findings are important because they tell us something about how the visual system works, which is relevant in both a theoretical and clinical context.</w:t>
      </w:r>
    </w:p>
    <w:p w:rsidR="00B94370" w:rsidRDefault="00B94370" w:rsidP="00B74865"/>
    <w:p w:rsidR="00B94370" w:rsidRPr="00992B72" w:rsidRDefault="00B94370" w:rsidP="00B94370">
      <w:r w:rsidRPr="00992B72">
        <w:rPr>
          <w:b/>
          <w:noProof/>
        </w:rPr>
        <w:t>Alicia</w:t>
      </w:r>
      <w:r w:rsidRPr="00992B72">
        <w:rPr>
          <w:b/>
        </w:rPr>
        <w:t xml:space="preserve"> </w:t>
      </w:r>
      <w:r w:rsidRPr="00992B72">
        <w:rPr>
          <w:b/>
          <w:noProof/>
        </w:rPr>
        <w:t>Rahman</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The Expression of Post-Colonialism as a Lived Experience within Post-Colonial Indian Literature</w:t>
      </w:r>
    </w:p>
    <w:p w:rsidR="00B94370" w:rsidRPr="00B64179" w:rsidRDefault="00B94370" w:rsidP="00B94370">
      <w:pPr>
        <w:rPr>
          <w:noProof/>
          <w:sz w:val="20"/>
          <w:szCs w:val="20"/>
        </w:rPr>
      </w:pPr>
      <w:r w:rsidRPr="00B64179">
        <w:rPr>
          <w:noProof/>
          <w:sz w:val="20"/>
          <w:szCs w:val="20"/>
        </w:rPr>
        <w:t>The partition of India, in 1947, into India and Pakistan left both nations politically and socially crippled. The process of partition itself was characterised by the outbreak of riots and murder, claiming several lives. Women, in particular – often subjected to sexual abuse – were objectified and used to establish power.</w:t>
      </w:r>
    </w:p>
    <w:p w:rsidR="00B94370" w:rsidRPr="00B64179" w:rsidRDefault="00B94370" w:rsidP="00B94370">
      <w:pPr>
        <w:rPr>
          <w:noProof/>
          <w:sz w:val="20"/>
          <w:szCs w:val="20"/>
        </w:rPr>
      </w:pPr>
      <w:r w:rsidRPr="00B64179">
        <w:rPr>
          <w:noProof/>
          <w:sz w:val="20"/>
          <w:szCs w:val="20"/>
        </w:rPr>
        <w:t>My research focuses on the way in which literature is able to depict the complexity of the post-colonial consciousness through varying literary trends. I will, therefore, explore a variety of texts, with particular focus on the experience of women within post-colonial India. Such texts include: Salman Rushdie’s Midnight’s Children, Anita Desai’s Clear Light of Day and Arundhati Roy’s The God of Small Things. Post-colonialism itself has been established as a literary theory, which can be applied on a globalised scale.</w:t>
      </w:r>
    </w:p>
    <w:p w:rsidR="00B94370" w:rsidRPr="00B64179" w:rsidRDefault="00B94370" w:rsidP="00B94370">
      <w:pPr>
        <w:rPr>
          <w:sz w:val="20"/>
          <w:szCs w:val="20"/>
        </w:rPr>
      </w:pPr>
      <w:r w:rsidRPr="00B64179">
        <w:rPr>
          <w:noProof/>
          <w:sz w:val="20"/>
          <w:szCs w:val="20"/>
        </w:rPr>
        <w:t xml:space="preserve">I will demonstrate how post-colonialism is, in fact, predominantly a lived experience, raising the question of whether these writers are successful in their attempt to depict a nation enmeshed in this global discourse on a much more localised level. Both Desai’s Clear Light of Day and Roy’s The God of Small Things, set in small towns, provide a focalised portrayal of a nationwide divide but within a local community. My analysis will </w:t>
      </w:r>
      <w:r w:rsidRPr="00B64179">
        <w:rPr>
          <w:noProof/>
          <w:sz w:val="20"/>
          <w:szCs w:val="20"/>
        </w:rPr>
        <w:lastRenderedPageBreak/>
        <w:t>extend to the way all three texts, in their expression of the plight experienced by a single family, gives a voice to the previously silenced post-colonial woman, demonstrating the collapse of traditional views on gender roles and the very concept of the family.</w:t>
      </w:r>
    </w:p>
    <w:p w:rsidR="00730510" w:rsidRPr="00B64179" w:rsidRDefault="00730510" w:rsidP="00730510">
      <w:pPr>
        <w:rPr>
          <w:sz w:val="20"/>
          <w:szCs w:val="20"/>
        </w:rPr>
      </w:pPr>
    </w:p>
    <w:p w:rsidR="00730510" w:rsidRPr="00B64179" w:rsidRDefault="00730510" w:rsidP="00730510">
      <w:r w:rsidRPr="00992B72">
        <w:rPr>
          <w:b/>
          <w:noProof/>
        </w:rPr>
        <w:t>Bethany</w:t>
      </w:r>
      <w:r w:rsidRPr="00992B72">
        <w:rPr>
          <w:b/>
        </w:rPr>
        <w:t xml:space="preserve"> </w:t>
      </w:r>
      <w:r w:rsidRPr="00992B72">
        <w:rPr>
          <w:b/>
          <w:noProof/>
        </w:rPr>
        <w:t>Richmond</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Capturing Microbial Co-Symbiosis to Sustain Plant Productivity</w:t>
      </w:r>
      <w:r w:rsidR="00B64179">
        <w:br/>
      </w:r>
      <w:r w:rsidR="00B64179">
        <w:br/>
      </w:r>
      <w:r w:rsidRPr="00B64179">
        <w:rPr>
          <w:noProof/>
          <w:sz w:val="20"/>
          <w:szCs w:val="20"/>
        </w:rPr>
        <w:t>Farmers currently have to apply fertilisers to the soil to compensate for low phosphorus and nitrogen levels, but with adverse effects to the environment and economy. Thus, it would be beneficial to attempt to harness naturally occurring mutualistic soil microbes, which can supply these nutrients to the plant with fewer unnecessary costs. We are studying the enhanced effects brought by co-inoculating plants with the specialist N-fixing microbe Sinorhizobium meliloti and the P-supplying fungus Piriformospora indica. Plants that have symbioses with both of these microbes are protected against devastating root stresses, and their growth is enhanced beyond the additive effects of the individual microbes.</w:t>
      </w:r>
    </w:p>
    <w:p w:rsidR="00730510" w:rsidRPr="00B64179" w:rsidRDefault="00730510" w:rsidP="00730510">
      <w:pPr>
        <w:rPr>
          <w:sz w:val="20"/>
          <w:szCs w:val="20"/>
        </w:rPr>
      </w:pPr>
      <w:r w:rsidRPr="00B64179">
        <w:rPr>
          <w:noProof/>
          <w:sz w:val="20"/>
          <w:szCs w:val="20"/>
        </w:rPr>
        <w:t>This project will help to identify the genes in plants that enable this co-symbiosis using gene expression analysis of plants during plant-microbe interaction. In particular, we will be studying how these microbes promote rhizobial nodulation in plants and protect against root stresses. Although the individual effects of these microbes on plant performance have been studied, we do not yet know the combined benefits that they bring, nor how the plant itself can control this co-symbiosis. This research will no doubt allow us to exploit these mutualistic microbes for use in an agricultural setting. If we can learn to harness these naturally occurring microbes, we can reduce our current usage of costly fertilisers. With the present world food crisis, investigating the co-symbiosis of these microbes could sustainably boost plant productivity and crop yield with fewer repercussions for the planet.</w:t>
      </w:r>
    </w:p>
    <w:p w:rsidR="00B94370" w:rsidRDefault="00B94370" w:rsidP="00B74865"/>
    <w:p w:rsidR="00B74865" w:rsidRPr="00992B72" w:rsidRDefault="00B74865" w:rsidP="00B74865">
      <w:r w:rsidRPr="00992B72">
        <w:rPr>
          <w:b/>
          <w:noProof/>
        </w:rPr>
        <w:t>Chloe</w:t>
      </w:r>
      <w:r w:rsidRPr="00992B72">
        <w:rPr>
          <w:b/>
        </w:rPr>
        <w:t xml:space="preserve"> </w:t>
      </w:r>
      <w:r w:rsidRPr="00992B72">
        <w:rPr>
          <w:b/>
          <w:noProof/>
        </w:rPr>
        <w:t>Highton</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Tokens in the Ancient Mediterranean</w:t>
      </w:r>
    </w:p>
    <w:p w:rsidR="00B74865" w:rsidRPr="00B64179" w:rsidRDefault="00B74865" w:rsidP="00B74865">
      <w:pPr>
        <w:rPr>
          <w:sz w:val="20"/>
          <w:szCs w:val="20"/>
        </w:rPr>
      </w:pPr>
      <w:r w:rsidRPr="00B64179">
        <w:rPr>
          <w:noProof/>
          <w:sz w:val="20"/>
          <w:szCs w:val="20"/>
        </w:rPr>
        <w:t>The purpose of ‘tokens’ in the context of Ancient Rome is unclear – with theories ranging from festival souvenirs to the broad concept of their use as alternative currencies. I plan to investigate how gods and heroes are represented on Roman tokens, compared to other representations of these figures in art more generally This will hopefully help to reveal ther purpose based on the contexts where certain motifs are often found. I also intend to visit find spots, including sites in Rome and Ostia, to further contextualise the tokens, shedding more light on their purpose. This in-depth research will focus on a few particular tokens, for which there is enough surviving evidence for analysis and re-interpretation to be fruitful. The tokens in question will be taken from a catalogue currently only available in Latin, which I will help to translate, broadening its potential audience. Additionally, the catalogue was produced by a 19th Century scholar who was not an expert in iconography – therefore, my research will produce alternate interpretations of images represented, supported by modern scholarship. This enquiry, which will help to build up an image of the tokens’ backgrounds, will help future researchers to shed some light on the currently obscure purpose of ancient tokens and so to better understand the lives of the people who used them and the processes which shaped those lives.</w:t>
      </w:r>
    </w:p>
    <w:p w:rsidR="00B74865" w:rsidRDefault="00B74865" w:rsidP="00B74865"/>
    <w:p w:rsidR="00B74865" w:rsidRPr="00992B72" w:rsidRDefault="00B74865" w:rsidP="00B74865">
      <w:r w:rsidRPr="00992B72">
        <w:rPr>
          <w:b/>
          <w:noProof/>
        </w:rPr>
        <w:t>Belen</w:t>
      </w:r>
      <w:r w:rsidRPr="00992B72">
        <w:rPr>
          <w:b/>
        </w:rPr>
        <w:t xml:space="preserve"> </w:t>
      </w:r>
      <w:r w:rsidRPr="00992B72">
        <w:rPr>
          <w:b/>
          <w:noProof/>
        </w:rPr>
        <w:t>Higueras Vicente</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Nationalism, Autonomy and Identity: How Hong Kong’s status as an autonomous territory of the People’s Republic of China has influenced its cuisine</w:t>
      </w:r>
    </w:p>
    <w:p w:rsidR="00B74865" w:rsidRPr="00B64179" w:rsidRDefault="00B74865" w:rsidP="00B74865">
      <w:pPr>
        <w:rPr>
          <w:noProof/>
          <w:sz w:val="20"/>
          <w:szCs w:val="20"/>
        </w:rPr>
      </w:pPr>
      <w:r w:rsidRPr="00B64179">
        <w:rPr>
          <w:noProof/>
          <w:sz w:val="20"/>
          <w:szCs w:val="20"/>
        </w:rPr>
        <w:t xml:space="preserve">Quoting Catherine Palmer: ‘the history of any nation’s diet is the history of the nation itself, with food fashion, fads and fancies mapping episodes of colonialism and migration, trade and exportation, cultural exchange and boundary-making.’ Food history is hence an interdisciplinary field that examines the history of food, as well as </w:t>
      </w:r>
      <w:r w:rsidRPr="00B64179">
        <w:rPr>
          <w:noProof/>
          <w:sz w:val="20"/>
          <w:szCs w:val="20"/>
        </w:rPr>
        <w:lastRenderedPageBreak/>
        <w:t>its cultural, economic, environmental and sociological impact. Eating is a deeply, indispensable human activity. As epicure Jean-Anthelme Brillat-Savarin said: ‘gastronomy governs the whole life of man.’ It is thus interesting from a research point of view as, through discussions on the functions, structure, social and political roles of food, we can understand the emergence and evolution of characteristics of our own society.</w:t>
      </w:r>
    </w:p>
    <w:p w:rsidR="00B74865" w:rsidRPr="00B64179" w:rsidRDefault="00B74865" w:rsidP="00B74865">
      <w:pPr>
        <w:rPr>
          <w:sz w:val="20"/>
          <w:szCs w:val="20"/>
        </w:rPr>
      </w:pPr>
      <w:r w:rsidRPr="00B64179">
        <w:rPr>
          <w:noProof/>
          <w:sz w:val="20"/>
          <w:szCs w:val="20"/>
        </w:rPr>
        <w:t>The focus of this project is on Hong Kong’s identity as an autonomous territory of the People’s Republic of China through its cuisine. Hong Kong is a pioneering culinary hub with a colonial past, a long history as a city of commerce, and a city which is much more open to the world compared to mainland China. The pivotal question is: has Hong Kong, despite being an autonomous region, maintained Chinese cuisine? Or has it otherwise established its own distinctive, local cuisine in order to showcase its independence? This allows the exploration of themes such as nationalism and identity, as well as how food plays a key role defining them in relation to place and belonging.</w:t>
      </w:r>
    </w:p>
    <w:p w:rsidR="00B94370" w:rsidRDefault="00B94370" w:rsidP="00B94370"/>
    <w:p w:rsidR="00B94370" w:rsidRPr="00992B72" w:rsidRDefault="00B94370" w:rsidP="00B94370">
      <w:r w:rsidRPr="00992B72">
        <w:rPr>
          <w:b/>
          <w:noProof/>
        </w:rPr>
        <w:t>James</w:t>
      </w:r>
      <w:r w:rsidRPr="00992B72">
        <w:rPr>
          <w:b/>
        </w:rPr>
        <w:t xml:space="preserve"> </w:t>
      </w:r>
      <w:r w:rsidRPr="00992B72">
        <w:rPr>
          <w:b/>
          <w:noProof/>
        </w:rPr>
        <w:t>O'Brien</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Understanding the Role of Type VII Secretions Systems of Staphylococcus Aureus</w:t>
      </w:r>
    </w:p>
    <w:p w:rsidR="00B94370" w:rsidRPr="00B64179" w:rsidRDefault="00B94370" w:rsidP="00B94370">
      <w:pPr>
        <w:rPr>
          <w:noProof/>
          <w:sz w:val="20"/>
          <w:szCs w:val="20"/>
        </w:rPr>
      </w:pPr>
      <w:r w:rsidRPr="00B64179">
        <w:rPr>
          <w:noProof/>
          <w:sz w:val="20"/>
          <w:szCs w:val="20"/>
        </w:rPr>
        <w:t>Staphylococcus aureus can act as an intracellular pathogen that results in both human and animal infections. In humans, S. aureus can cause a variety of serious infections and illnesses, including localised skin infections, pneumonia and the potentially fatal toxic shock syndrome.</w:t>
      </w:r>
    </w:p>
    <w:p w:rsidR="00B94370" w:rsidRPr="00B64179" w:rsidRDefault="00B94370" w:rsidP="00B94370">
      <w:pPr>
        <w:rPr>
          <w:noProof/>
          <w:sz w:val="20"/>
          <w:szCs w:val="20"/>
        </w:rPr>
      </w:pPr>
      <w:r w:rsidRPr="00B64179">
        <w:rPr>
          <w:noProof/>
          <w:sz w:val="20"/>
          <w:szCs w:val="20"/>
        </w:rPr>
        <w:t>Research has noted that a secretion system (known as the type VII ESAT-6 secretion system) has been found to have high levels of upregulation in cystic fibrosis patients with chronic S. aureus infection. This secretion system machinery has six core components: one extracellular protein, one cytoplasmic protein and four membrane proteins. It has been found as a requirement for virulence, with recent research identifying secreted protein EsxA as a suppressor of host cell apoptotic cell response. In this way, it can sustain intracellular infection as well as be required for secretion of other virulence factors of the Ess system, such as EsxB and EsxC.</w:t>
      </w:r>
    </w:p>
    <w:p w:rsidR="00B94370" w:rsidRPr="00B64179" w:rsidRDefault="00B94370" w:rsidP="00B94370">
      <w:pPr>
        <w:rPr>
          <w:sz w:val="20"/>
          <w:szCs w:val="20"/>
        </w:rPr>
      </w:pPr>
      <w:r w:rsidRPr="00B64179">
        <w:rPr>
          <w:noProof/>
          <w:sz w:val="20"/>
          <w:szCs w:val="20"/>
        </w:rPr>
        <w:t>Research aims to understand the mechanisms underlying the S. aureus type VII secretion system. To investigate the specific role of individual proteins during S. aureus infection, we will construct and study mutants lacking individual Ess proteins for their ability to form biofilms and invade host cells. These studies could eventually lead to the development of some of the Ess proteins as potential drug or vaccine candidates.</w:t>
      </w:r>
    </w:p>
    <w:p w:rsidR="00B94370" w:rsidRPr="00992B72" w:rsidRDefault="00B94370" w:rsidP="00B94370"/>
    <w:p w:rsidR="00B94370" w:rsidRPr="00992B72" w:rsidRDefault="00B94370" w:rsidP="00B94370">
      <w:r w:rsidRPr="00992B72">
        <w:rPr>
          <w:b/>
          <w:noProof/>
        </w:rPr>
        <w:t>Rory</w:t>
      </w:r>
      <w:r w:rsidRPr="00992B72">
        <w:rPr>
          <w:b/>
        </w:rPr>
        <w:t xml:space="preserve"> </w:t>
      </w:r>
      <w:r w:rsidRPr="00992B72">
        <w:rPr>
          <w:b/>
          <w:noProof/>
        </w:rPr>
        <w:t>Whiteford</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Understanding the Great Importance of the Genetic Preservation of the Lesser Horseshoe Bat in South Wales</w:t>
      </w:r>
    </w:p>
    <w:p w:rsidR="00B94370" w:rsidRPr="00B64179" w:rsidRDefault="00B94370" w:rsidP="00B94370">
      <w:pPr>
        <w:rPr>
          <w:sz w:val="20"/>
          <w:szCs w:val="20"/>
        </w:rPr>
      </w:pPr>
      <w:r w:rsidRPr="00B64179">
        <w:rPr>
          <w:noProof/>
          <w:sz w:val="20"/>
          <w:szCs w:val="20"/>
        </w:rPr>
        <w:t xml:space="preserve">The preservation of the UK’s flora and fauna has been of dramatic importance in the recent coming years in terms of increased human development and destruction of vital habitats for farmland and urbanisation. The population of bat species in the UK has been in serious decline as a result, with all 17 species being protected under British Law. Strategies and further improvements in conservation and monitoring need to be greatly considered in order to protect and sustain these keystone species that provide ecological services ranging from pest management to disease control. The Gower Peninsula of Southern Wales appears to harbour a genetically distinct population of Lesser Horseshoe Bats (Rhinolophus hipposideros) that have become isolated from the rest of the UK. Work looking into the mitochondrial analysis of this particular group by extraction and analysis of the variation in the 720bp fragments of the mtDNA Cyctochrome B gene has helped build a greater understanding of the species phylogeography. It has also elaborated upon the phylogenetic history of the species emergence in the UK as well as other species, helping to understand the migration and distribution of the species in the country. The results found here can hugely benefit the conservation work on bats currently taking place in the UK and would influence well-informed decisions on the governing of the Gower Peninsula </w:t>
      </w:r>
      <w:r w:rsidRPr="00B64179">
        <w:rPr>
          <w:noProof/>
          <w:sz w:val="20"/>
          <w:szCs w:val="20"/>
        </w:rPr>
        <w:lastRenderedPageBreak/>
        <w:t>itself towards future conservation and preservation, which would be a sure step in the right direction in protecting this fragile species from potential or possibly permanent disappearance.</w:t>
      </w:r>
    </w:p>
    <w:p w:rsidR="00B94370" w:rsidRDefault="00B94370" w:rsidP="00B74865">
      <w:pPr>
        <w:rPr>
          <w:b/>
          <w:color w:val="FF0000"/>
        </w:rPr>
      </w:pPr>
    </w:p>
    <w:p w:rsidR="00B74865" w:rsidRPr="00992B72" w:rsidRDefault="00B74865" w:rsidP="00B74865">
      <w:r w:rsidRPr="00992B72">
        <w:rPr>
          <w:b/>
          <w:noProof/>
        </w:rPr>
        <w:t>Anastasia</w:t>
      </w:r>
      <w:r w:rsidRPr="00992B72">
        <w:rPr>
          <w:b/>
        </w:rPr>
        <w:t xml:space="preserve"> </w:t>
      </w:r>
      <w:r w:rsidRPr="00992B72">
        <w:rPr>
          <w:b/>
          <w:noProof/>
        </w:rPr>
        <w:t>Kappelou</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New Undergraduate Teaching Lab Experiment in Forensic Chemistry</w:t>
      </w:r>
    </w:p>
    <w:p w:rsidR="00B74865" w:rsidRPr="00B64179" w:rsidRDefault="00B74865" w:rsidP="00B74865">
      <w:pPr>
        <w:rPr>
          <w:sz w:val="20"/>
          <w:szCs w:val="20"/>
        </w:rPr>
      </w:pPr>
      <w:r w:rsidRPr="00B64179">
        <w:rPr>
          <w:noProof/>
          <w:sz w:val="20"/>
          <w:szCs w:val="20"/>
        </w:rPr>
        <w:t>This investigation is trying to illustrate the importance of analytical chemistry in contemporary issues, specifically in the qualitative and quantitative analysis of lipids in different foods. The objective of the study was to design an experiment for undergraduate chemistry labs that uses techniques used for food analysis in industry and at the same time offers the chance to work on a large range of samples. The novelty of this experiment lies in the fact that fatty acid products are used for analysis using saponification, a large-scale industrial chemical process, which has been scaled down for this experiment. This reaction manages to yield quantitative results, eradicating the need for the synthesis of fatty acid methyl esters, which requires harsh conditions and dangerous chemicals. In addition, the experiment lends itself to a first step into scientific investigation. Food coming from different sources, or produced in different ways, might contain a different profile of fatty acids. Laboratory chemistry was applied to validate the claims made by manufacturers in terms of the content of saturated fat and omega 3 fatty acids. It was also required from the students to assess the appropriacy of certain sample preparation techniques. Finally, focus was given to the involvement of critical thinking and evaluation of different analytical techniques with the goal of concluding the one best suited to the molecule under investigation by considering how the structure of lipids can affect the properties of the lipid molecule. In addition to valuable laboratory skills, the students got to think about what they eat and how they could improve their health by making sensible choices.</w:t>
      </w:r>
    </w:p>
    <w:p w:rsidR="00B74865" w:rsidRPr="00992B72" w:rsidRDefault="00B74865" w:rsidP="00B74865"/>
    <w:p w:rsidR="00B74865" w:rsidRPr="00992B72" w:rsidRDefault="00B74865" w:rsidP="00B74865">
      <w:r w:rsidRPr="00992B72">
        <w:rPr>
          <w:b/>
          <w:noProof/>
        </w:rPr>
        <w:t>Molly</w:t>
      </w:r>
      <w:r w:rsidRPr="00992B72">
        <w:rPr>
          <w:b/>
        </w:rPr>
        <w:t xml:space="preserve"> </w:t>
      </w:r>
      <w:r w:rsidRPr="00992B72">
        <w:rPr>
          <w:b/>
          <w:noProof/>
        </w:rPr>
        <w:t>Russell</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The Sound of the Underground: The role of urban space and sound in claiming the right to Detroit city in the 1980s</w:t>
      </w:r>
    </w:p>
    <w:p w:rsidR="00B74865" w:rsidRPr="00B64179" w:rsidRDefault="00B74865" w:rsidP="00B74865">
      <w:pPr>
        <w:rPr>
          <w:noProof/>
          <w:sz w:val="20"/>
          <w:szCs w:val="20"/>
        </w:rPr>
      </w:pPr>
      <w:r w:rsidRPr="00B64179">
        <w:rPr>
          <w:noProof/>
          <w:sz w:val="20"/>
          <w:szCs w:val="20"/>
        </w:rPr>
        <w:t>Drawing on Henri Lefebvre’s spatial theory of ‘The Right to the City’, the ‘demand...[for] a transformed and renewed access to urban life’, this paper will examine the ways in which Detroit’s urban fabric was transformed and politically radicalised by a pioneering music movement in the 1980s. The study will first historicise Detroit’s post-war position and identify the origins of its ‘urban crisis’ (Sugrue, 1996), notably intense racial segregation, wealth inequality and capital flight. Such circumstances translated to an ownership of the urban space by the wealthy white population.</w:t>
      </w:r>
    </w:p>
    <w:p w:rsidR="00B74865" w:rsidRPr="00B64179" w:rsidRDefault="00B74865" w:rsidP="00B74865">
      <w:pPr>
        <w:rPr>
          <w:noProof/>
          <w:sz w:val="20"/>
          <w:szCs w:val="20"/>
        </w:rPr>
      </w:pPr>
      <w:r w:rsidRPr="00B64179">
        <w:rPr>
          <w:noProof/>
          <w:sz w:val="20"/>
          <w:szCs w:val="20"/>
        </w:rPr>
        <w:t>Through consultation of cultural sources, particularly research into the music of the ‘Belleville Three’, pioneers of the Detroit techno scene, and analysis of the political significance of the genre of Afrofuturism, this paper will explain the importance and efficacy of creative underground resistance movements in claiming the right to the city, which, particularly in the case of Detroit, had been snatched from the African American population.</w:t>
      </w:r>
    </w:p>
    <w:p w:rsidR="00B74865" w:rsidRPr="00B64179" w:rsidRDefault="00B74865" w:rsidP="00B74865">
      <w:pPr>
        <w:rPr>
          <w:noProof/>
          <w:sz w:val="20"/>
          <w:szCs w:val="20"/>
        </w:rPr>
      </w:pPr>
      <w:r w:rsidRPr="00B64179">
        <w:rPr>
          <w:noProof/>
          <w:sz w:val="20"/>
          <w:szCs w:val="20"/>
        </w:rPr>
        <w:t>The music produced out of the city became an integral component of the Detroit identity and, on a wider scale, Detroit was recognised as a unique setting for the birth and flourishing of musical subgenres, an image that stands strong today. The combination of studying the legacy of the Detroit techno movement alongside spatial theory aims to provoke unique interdisciplinary reflections on the reclaiming of public and underground spaces by the marginalised through cultural rather than legislative discourse today.</w:t>
      </w:r>
    </w:p>
    <w:p w:rsidR="00730510" w:rsidRDefault="00730510" w:rsidP="00B74865">
      <w:pPr>
        <w:rPr>
          <w:noProof/>
        </w:rPr>
      </w:pPr>
    </w:p>
    <w:p w:rsidR="00730510" w:rsidRPr="00992B72" w:rsidRDefault="00730510" w:rsidP="00730510">
      <w:r w:rsidRPr="00992B72">
        <w:rPr>
          <w:b/>
          <w:noProof/>
        </w:rPr>
        <w:t>Safiya</w:t>
      </w:r>
      <w:r w:rsidRPr="00992B72">
        <w:rPr>
          <w:b/>
        </w:rPr>
        <w:t xml:space="preserve"> </w:t>
      </w:r>
      <w:r w:rsidRPr="00992B72">
        <w:rPr>
          <w:b/>
          <w:noProof/>
        </w:rPr>
        <w:t>Shariff</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Las Madres de La Plaza de Mayo: How has a nation’s perception of them changed?</w:t>
      </w:r>
    </w:p>
    <w:p w:rsidR="00730510" w:rsidRPr="00B64179" w:rsidRDefault="00730510" w:rsidP="00730510">
      <w:pPr>
        <w:rPr>
          <w:noProof/>
          <w:sz w:val="20"/>
          <w:szCs w:val="20"/>
        </w:rPr>
      </w:pPr>
      <w:r w:rsidRPr="00B64179">
        <w:rPr>
          <w:noProof/>
          <w:sz w:val="20"/>
          <w:szCs w:val="20"/>
        </w:rPr>
        <w:t xml:space="preserve">The Mothers of the Plaza de Mayo (Las Madres de La Plaza de Mayo) is an Argentinian human rights association. It is made up of Argentine women whose children disappeared at the hands of the Military </w:t>
      </w:r>
      <w:r w:rsidRPr="00B64179">
        <w:rPr>
          <w:noProof/>
          <w:sz w:val="20"/>
          <w:szCs w:val="20"/>
        </w:rPr>
        <w:lastRenderedPageBreak/>
        <w:t>Government during Argentina’s Dirty War in the late 1970s. An estimated 30,000 people disappeared during this period, fewer than 600 of which have been found and identified since. To many, Las Madres and their ongoing social activism to discover the fate of those disappeared have become a symbol for Argentina’s continuing struggle for justice.</w:t>
      </w:r>
    </w:p>
    <w:p w:rsidR="00730510" w:rsidRPr="00B64179" w:rsidRDefault="00730510" w:rsidP="00730510">
      <w:pPr>
        <w:rPr>
          <w:noProof/>
          <w:sz w:val="20"/>
          <w:szCs w:val="20"/>
        </w:rPr>
      </w:pPr>
      <w:r w:rsidRPr="00B64179">
        <w:rPr>
          <w:noProof/>
          <w:sz w:val="20"/>
          <w:szCs w:val="20"/>
        </w:rPr>
        <w:t>More recently, however, the human rights group has been accused of embezzlement scandals; it has become increasingly politicised with members openly backing questionable political groups in Argentina and Latin America; it has been denounced by the current right wing government and has split marginally, dividing the group into ‘radical’ factions.</w:t>
      </w:r>
    </w:p>
    <w:p w:rsidR="00730510" w:rsidRPr="00B64179" w:rsidRDefault="00730510" w:rsidP="00730510">
      <w:pPr>
        <w:rPr>
          <w:noProof/>
          <w:sz w:val="20"/>
          <w:szCs w:val="20"/>
        </w:rPr>
      </w:pPr>
      <w:r w:rsidRPr="00B64179">
        <w:rPr>
          <w:noProof/>
          <w:sz w:val="20"/>
          <w:szCs w:val="20"/>
        </w:rPr>
        <w:t>This investigation aims to peer more closely into what the Mothers represent in Argentina today and public opinion towards them. It is a contemporary study and thus focuses on changes in public opinion over the past six years. To gain an objective understanding of public opinion towards the Mothers, this study will combine newspaper readings, interviews and photos.</w:t>
      </w:r>
    </w:p>
    <w:p w:rsidR="00730510" w:rsidRPr="00B64179" w:rsidRDefault="00730510" w:rsidP="00730510">
      <w:pPr>
        <w:rPr>
          <w:sz w:val="20"/>
          <w:szCs w:val="20"/>
        </w:rPr>
      </w:pPr>
      <w:r w:rsidRPr="00B64179">
        <w:rPr>
          <w:noProof/>
          <w:sz w:val="20"/>
          <w:szCs w:val="20"/>
        </w:rPr>
        <w:t>Given that the Mothers form such a crucial part of the identity of modern Argentinian history, there is surprisingly little academic work examining their contemporary role in Argentinian society and politics. This study aims to take a first step into that process.</w:t>
      </w:r>
    </w:p>
    <w:p w:rsidR="00730510" w:rsidRDefault="00730510" w:rsidP="00B74865"/>
    <w:p w:rsidR="00730510" w:rsidRPr="00992B72" w:rsidRDefault="00730510" w:rsidP="00730510">
      <w:r w:rsidRPr="00992B72">
        <w:rPr>
          <w:b/>
          <w:noProof/>
        </w:rPr>
        <w:t>William</w:t>
      </w:r>
      <w:r w:rsidRPr="00992B72">
        <w:rPr>
          <w:b/>
        </w:rPr>
        <w:t xml:space="preserve"> </w:t>
      </w:r>
      <w:r w:rsidRPr="00992B72">
        <w:rPr>
          <w:b/>
          <w:noProof/>
        </w:rPr>
        <w:t>Somerset</w:t>
      </w:r>
      <w:r w:rsidRPr="00992B72">
        <w:t xml:space="preserve"> (</w:t>
      </w:r>
      <w:r w:rsidRPr="00992B72">
        <w:rPr>
          <w:noProof/>
        </w:rPr>
        <w:t>University of Warwick</w:t>
      </w:r>
      <w:r w:rsidRPr="00992B72">
        <w:t xml:space="preserve">, </w:t>
      </w:r>
      <w:r w:rsidRPr="00992B72">
        <w:rPr>
          <w:noProof/>
        </w:rPr>
        <w:t>UK</w:t>
      </w:r>
      <w:r w:rsidRPr="00992B72">
        <w:t>)</w:t>
      </w:r>
      <w:r w:rsidR="00B64179">
        <w:br/>
      </w:r>
      <w:r w:rsidRPr="00992B72">
        <w:rPr>
          <w:i/>
          <w:noProof/>
        </w:rPr>
        <w:t>Focused Ultrasound Transducers for Non-Destructive Testing</w:t>
      </w:r>
    </w:p>
    <w:p w:rsidR="00730510" w:rsidRPr="00B64179" w:rsidRDefault="00730510" w:rsidP="00730510">
      <w:pPr>
        <w:rPr>
          <w:sz w:val="20"/>
          <w:szCs w:val="20"/>
        </w:rPr>
      </w:pPr>
      <w:r w:rsidRPr="00B64179">
        <w:rPr>
          <w:noProof/>
          <w:sz w:val="20"/>
          <w:szCs w:val="20"/>
        </w:rPr>
        <w:t>Ultrasound waves have many practical applications, one of which being the non-destructive testing of materials to find structural defects. These approaches to non-destructive testing are highly sought after in industry, and methods of increasing the spatial resolution of ultrasound images will be in high demand. This project will develop new focused electromagnetic acoustic transducer (EMAT) designs with the overall aim of investigating the effectiveness of various EMATs at producing higher quality images. The use of focusing techniques to give instruments a smaller localised focal point will be investigated, providing both increased spatial resolution and wave amplitude, and reducing the required input power to the device. The concept of phased pulsing with the use of multiple EMAT coils will also be investigated with the aim of producing similar effects, either via increasing the output power of the device or by increasing the maximum workable frequency of the EMAT. The project will require both the construction of new EMAT designs and the use of computer modelling to investigate ultrasound interaction within the material tested and to identify suitable focusing parameters for the EMATs. New EMAT designs will be inspired by single coil focused EMATs and the well-established knowledge of linear set ups, applying this to a four-coil, focused regime. An element of trial and error testing will be used to optimise EMAT coil layouts. This investigation will endeavour to improve the efficacy of current ultrasound transducer designs to allow smaller defects to be imaged at a higher quality.</w:t>
      </w:r>
    </w:p>
    <w:p w:rsidR="00730510" w:rsidRDefault="00730510" w:rsidP="00B74865"/>
    <w:p w:rsidR="00730510" w:rsidRPr="00992B72" w:rsidRDefault="00730510" w:rsidP="00730510">
      <w:r w:rsidRPr="00992B72">
        <w:rPr>
          <w:b/>
          <w:noProof/>
        </w:rPr>
        <w:t>Alexander</w:t>
      </w:r>
      <w:r w:rsidRPr="00992B72">
        <w:rPr>
          <w:b/>
        </w:rPr>
        <w:t xml:space="preserve"> </w:t>
      </w:r>
      <w:r w:rsidRPr="00992B72">
        <w:rPr>
          <w:b/>
          <w:noProof/>
        </w:rPr>
        <w:t>Stephanides</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Branching Processes and Their Limit Properties</w:t>
      </w:r>
    </w:p>
    <w:p w:rsidR="00730510" w:rsidRPr="00B64179" w:rsidRDefault="00730510" w:rsidP="00730510">
      <w:pPr>
        <w:rPr>
          <w:sz w:val="20"/>
          <w:szCs w:val="20"/>
        </w:rPr>
      </w:pPr>
      <w:r w:rsidRPr="00B64179">
        <w:rPr>
          <w:noProof/>
          <w:sz w:val="20"/>
          <w:szCs w:val="20"/>
        </w:rPr>
        <w:t xml:space="preserve">This project centres on the classical discrete time Galton-Watson branching process. This is a stochastic process first introduced at the dawn of the theory of Markov processes in order to investigate the extinction of family names; however, its use extends far beyond this niche application. This random process is used to model the growth of populations, not only of living organisms but also in particle and nuclear physics. The project starts with an introduction to branching processes, reviewing important properties such as the probability of extinction and how the expected population size changes with time. In order to present this more clearly, I will create a simulation of a branching process using an exponential distribution in order to show how the population will grow or become extinct depending the parametrisation. Furthermore, I will investigate advanced properties of the process. In particular, I will be looking at the time asymptotic properties of the process such as the quasi-stationary distribution of the family size when conditioned on non-extinction. </w:t>
      </w:r>
      <w:r w:rsidRPr="00B64179">
        <w:rPr>
          <w:noProof/>
          <w:sz w:val="20"/>
          <w:szCs w:val="20"/>
        </w:rPr>
        <w:lastRenderedPageBreak/>
        <w:t xml:space="preserve">This idea extends that of the normal stationary distributions considered for Markov chains and introduces the notion of a Yaglom limit. These quasi-stationary distributions are considered in modern state-of-the-art problems of probability and statistics for applications in computational inference, particle physics and population genetics. I will use classical references on branching processes such as Theodore E Harris’s </w:t>
      </w:r>
      <w:r w:rsidRPr="00B64179">
        <w:rPr>
          <w:i/>
          <w:noProof/>
          <w:sz w:val="20"/>
          <w:szCs w:val="20"/>
        </w:rPr>
        <w:t xml:space="preserve">The Theory of Branching Processes </w:t>
      </w:r>
      <w:r w:rsidRPr="00B64179">
        <w:rPr>
          <w:noProof/>
          <w:sz w:val="20"/>
          <w:szCs w:val="20"/>
        </w:rPr>
        <w:t>from 1964, the work of John Lamperti and more general works on Markov chains.</w:t>
      </w:r>
    </w:p>
    <w:p w:rsidR="00730510" w:rsidRDefault="00730510" w:rsidP="00B74865"/>
    <w:p w:rsidR="00730510" w:rsidRPr="00992B72" w:rsidRDefault="00730510" w:rsidP="00730510">
      <w:r w:rsidRPr="00992B72">
        <w:rPr>
          <w:b/>
          <w:noProof/>
        </w:rPr>
        <w:t>Faraz</w:t>
      </w:r>
      <w:r w:rsidRPr="00992B72">
        <w:rPr>
          <w:b/>
        </w:rPr>
        <w:t xml:space="preserve"> </w:t>
      </w:r>
      <w:r w:rsidRPr="00992B72">
        <w:rPr>
          <w:b/>
          <w:noProof/>
        </w:rPr>
        <w:t>Taheri</w:t>
      </w:r>
      <w:r w:rsidRPr="00992B72">
        <w:t xml:space="preserve"> (</w:t>
      </w:r>
      <w:r w:rsidRPr="00992B72">
        <w:rPr>
          <w:noProof/>
        </w:rPr>
        <w:t>University of Warwick</w:t>
      </w:r>
      <w:r w:rsidRPr="00992B72">
        <w:t xml:space="preserve">, </w:t>
      </w:r>
      <w:r w:rsidRPr="00992B72">
        <w:rPr>
          <w:noProof/>
        </w:rPr>
        <w:t>UK</w:t>
      </w:r>
      <w:r w:rsidRPr="00992B72">
        <w:t>)</w:t>
      </w:r>
      <w:r w:rsidR="00B64179">
        <w:br/>
      </w:r>
      <w:r w:rsidRPr="00992B72">
        <w:rPr>
          <w:i/>
          <w:noProof/>
        </w:rPr>
        <w:t>High-Level Languages for Hardware Design</w:t>
      </w:r>
    </w:p>
    <w:p w:rsidR="00730510" w:rsidRPr="00B64179" w:rsidRDefault="00730510" w:rsidP="00730510">
      <w:pPr>
        <w:rPr>
          <w:noProof/>
          <w:sz w:val="20"/>
          <w:szCs w:val="20"/>
        </w:rPr>
      </w:pPr>
      <w:r w:rsidRPr="00B64179">
        <w:rPr>
          <w:noProof/>
          <w:sz w:val="20"/>
          <w:szCs w:val="20"/>
        </w:rPr>
        <w:t>This project will explore high-level design tools including C-to-gates tools and the PYNQ platform. PYNQ is an attempt to simplify the design of Field-Programmable Gate Array (FPGA) based systems using a Python design environment running on an embedded web server in the FPGA. This allows peripherals to be combined to create an application more easily than would be possible using traditional Register–Transfer Level (RTL) design. This project will use this new framework and explore how it can be extended. Other tools will also be explored as platforms for generating hardware accelerators from high-level code.</w:t>
      </w:r>
    </w:p>
    <w:p w:rsidR="00730510" w:rsidRPr="00B64179" w:rsidRDefault="00730510" w:rsidP="00730510">
      <w:pPr>
        <w:rPr>
          <w:noProof/>
          <w:sz w:val="20"/>
          <w:szCs w:val="20"/>
        </w:rPr>
      </w:pPr>
      <w:r w:rsidRPr="00B64179">
        <w:rPr>
          <w:noProof/>
          <w:sz w:val="20"/>
          <w:szCs w:val="20"/>
        </w:rPr>
        <w:t>FPGAs are widely used in areas such as Signal and Image processing and machine learning. FPGAs consist of blocks, and it is relatively easy to change the design and add features, which makes them suitable for prototyping. These features contribute to the rapid growth of FPGAs. Most of existing Hardware Design Languages do not capture important properties of system design and therefore design is limited by scope and expressivity of these languages. Considering the benefits of using FPGAs, this project aims to make it easier to implement FPGAs in wider applications by creating tools that are more expressive, and make the design of complex systems more understandable and therefore resulting in more efficient and cheaper solutions.</w:t>
      </w:r>
    </w:p>
    <w:p w:rsidR="00B64179" w:rsidRPr="00992B72" w:rsidRDefault="00B64179" w:rsidP="00730510"/>
    <w:p w:rsidR="00730510" w:rsidRPr="00992B72" w:rsidRDefault="00730510" w:rsidP="00730510">
      <w:r w:rsidRPr="00992B72">
        <w:rPr>
          <w:b/>
          <w:noProof/>
        </w:rPr>
        <w:t>Petra</w:t>
      </w:r>
      <w:r w:rsidRPr="00992B72">
        <w:rPr>
          <w:b/>
        </w:rPr>
        <w:t xml:space="preserve"> </w:t>
      </w:r>
      <w:r w:rsidRPr="00992B72">
        <w:rPr>
          <w:b/>
          <w:noProof/>
        </w:rPr>
        <w:t>Tang</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The English Legal System is Arguably the Gold Standard in Terms of Creating Legal Structures and Concepts within the Common Law World: This legacy has been spread across the Commonwealth through colonisation</w:t>
      </w:r>
    </w:p>
    <w:p w:rsidR="00730510" w:rsidRPr="00B64179" w:rsidRDefault="00730510" w:rsidP="00730510">
      <w:pPr>
        <w:rPr>
          <w:sz w:val="20"/>
          <w:szCs w:val="20"/>
        </w:rPr>
      </w:pPr>
      <w:r w:rsidRPr="00B64179">
        <w:rPr>
          <w:noProof/>
          <w:sz w:val="20"/>
          <w:szCs w:val="20"/>
        </w:rPr>
        <w:t>My project focuses on the role played by the British government in helping to shape the post-colonial legal systems of her former colonies. Using Malaysia as a case study, the project seeks to chart the constitutional experience of the state in the period after independence in 1957. This project will take various angles using the Constitution drafted by the Reid Commission as a starting point, the social contract forged through the main ethnic groups in the Southeast Asian state as well as the federalisation of the Malay states to form what became Malaya. A comparative approach will be taken in analysing the similarities and differences in other post-colonial legal histories. Finally, the project will examine the extent to which Britain continued to play a role in shaping the Malaysian legal system following independence.</w:t>
      </w:r>
    </w:p>
    <w:p w:rsidR="00730510" w:rsidRDefault="00730510" w:rsidP="00B74865"/>
    <w:p w:rsidR="00730510" w:rsidRPr="00992B72" w:rsidRDefault="00730510" w:rsidP="00730510">
      <w:r w:rsidRPr="00992B72">
        <w:rPr>
          <w:b/>
          <w:noProof/>
        </w:rPr>
        <w:t>Hannah</w:t>
      </w:r>
      <w:r w:rsidRPr="00992B72">
        <w:rPr>
          <w:b/>
        </w:rPr>
        <w:t xml:space="preserve"> </w:t>
      </w:r>
      <w:r w:rsidRPr="00992B72">
        <w:rPr>
          <w:b/>
          <w:noProof/>
        </w:rPr>
        <w:t>Thorpe</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Beyond Brothels: Token sexual imagery and its meaning</w:t>
      </w:r>
    </w:p>
    <w:p w:rsidR="00730510" w:rsidRPr="00B64179" w:rsidRDefault="00730510" w:rsidP="00730510">
      <w:pPr>
        <w:rPr>
          <w:noProof/>
          <w:sz w:val="20"/>
          <w:szCs w:val="20"/>
        </w:rPr>
      </w:pPr>
      <w:r w:rsidRPr="00B64179">
        <w:rPr>
          <w:noProof/>
          <w:sz w:val="20"/>
          <w:szCs w:val="20"/>
        </w:rPr>
        <w:t xml:space="preserve">The academic study of sexual imagery is an area compromised by the lasting impacts of nineteenth-century conservative scholarship, for we have inherited the prudishness of scholars before us. The consequences of older attitudes to sex have spread to impact our understanding of the ancient world. This paper acknowledges that this censorship has obscured the reality of obscene visual symbolism in Ancient Rome. The portrayal of sexual imagery has often been sensationalised; thus we must engage with materials yet to have been satisfactorily considered. This will best challenge our preconceived notions of erotic art. Therefore, this paper </w:t>
      </w:r>
      <w:r w:rsidRPr="00B64179">
        <w:rPr>
          <w:noProof/>
          <w:sz w:val="20"/>
          <w:szCs w:val="20"/>
        </w:rPr>
        <w:lastRenderedPageBreak/>
        <w:t>looks to a class of material which has never been properly examined before – tokens; specifically, those depicting sexual acts.</w:t>
      </w:r>
    </w:p>
    <w:p w:rsidR="00730510" w:rsidRPr="00B64179" w:rsidRDefault="00730510" w:rsidP="00730510">
      <w:pPr>
        <w:rPr>
          <w:sz w:val="20"/>
          <w:szCs w:val="20"/>
        </w:rPr>
      </w:pPr>
      <w:r w:rsidRPr="00B64179">
        <w:rPr>
          <w:noProof/>
          <w:sz w:val="20"/>
          <w:szCs w:val="20"/>
        </w:rPr>
        <w:t>Conceptually akin to modern-day vouchers, ancient Roman tokens were exchangeable for prescribed goods and services. They have previously received very little study, least of all those portraying lewd acts. As such, the tokens investigated in this project are those which are previously unpublished and inaccessible. Their erotic imagery will be scrutinised in relation to other imagery in the city of Rome. This provides context as to the placement of this imagery so that it can be better understood. An examination of this sort will facilitate a movement away from the suppressive conservatism of past scholars, since in comprehending tokens – their imagery and their roles in ancient Roman society – we shall allow ourselves a better understanding of the Roman people.</w:t>
      </w:r>
    </w:p>
    <w:p w:rsidR="00730510" w:rsidRDefault="00730510" w:rsidP="00B74865"/>
    <w:p w:rsidR="00730510" w:rsidRPr="00992B72" w:rsidRDefault="00730510" w:rsidP="00730510">
      <w:r w:rsidRPr="00992B72">
        <w:rPr>
          <w:b/>
          <w:noProof/>
        </w:rPr>
        <w:t>Nathan</w:t>
      </w:r>
      <w:r w:rsidRPr="00992B72">
        <w:rPr>
          <w:b/>
        </w:rPr>
        <w:t xml:space="preserve"> </w:t>
      </w:r>
      <w:r w:rsidRPr="00992B72">
        <w:rPr>
          <w:b/>
          <w:noProof/>
        </w:rPr>
        <w:t>Tipping</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A Study of Masculinities in Palestine</w:t>
      </w:r>
    </w:p>
    <w:p w:rsidR="00730510" w:rsidRPr="00B64179" w:rsidRDefault="00730510" w:rsidP="00730510">
      <w:pPr>
        <w:rPr>
          <w:noProof/>
          <w:sz w:val="20"/>
          <w:szCs w:val="20"/>
        </w:rPr>
      </w:pPr>
      <w:r w:rsidRPr="00B64179">
        <w:rPr>
          <w:noProof/>
          <w:sz w:val="20"/>
          <w:szCs w:val="20"/>
        </w:rPr>
        <w:t>Through a multigenerational study, the project will seek to understand the degree to which Palestinian masculinity has been moulded by Israeli occupation since 1967. Broadly, the project will be framed within three time periods: pre-Oslo Accords, from the Oslo Accords to the second intifada, and from the second intifada to the present day. The project will utilise a semi-structured interview process in which Palestinian men and women will be asked about their sense of self, their past experiences with the occupying forces and their perceived roles in society. The project subscribes to Judith Butler’s notion of ‘gender performativity’, in which gender is conceptualised as something fluid, and defined by gendered acts. Consequently, I will apply a theoretical understanding of gender to the reality of the occupation. By studying the effects of the occupation within these distinct time periods, the project will discern intergenerational divides regarding the accepted performance of masculinity, in relation to changing Israeli security practices.</w:t>
      </w:r>
    </w:p>
    <w:p w:rsidR="00730510" w:rsidRPr="00B64179" w:rsidRDefault="00730510" w:rsidP="00730510">
      <w:pPr>
        <w:rPr>
          <w:sz w:val="20"/>
          <w:szCs w:val="20"/>
        </w:rPr>
      </w:pPr>
      <w:r w:rsidRPr="00B64179">
        <w:rPr>
          <w:noProof/>
          <w:sz w:val="20"/>
          <w:szCs w:val="20"/>
        </w:rPr>
        <w:t>While some scholars have noted that Palestinian masculinity has been shaped by Israel’s occupation, the particular ways in which it has changed remain relatively unexplored. Understanding the shift in gender norms among Palestinians, and how masculinity is expected to be performed, serves to aid our understanding of the conflict. First, it will provide insight into the continual evolution of Palestinian society, and how gender roles have changed as a consequence of occupation. Second, a deeper understanding of how Palestinian masculinity is performed may inform further research into conflicts between Israeli security forces and the Palestinian population.</w:t>
      </w:r>
    </w:p>
    <w:p w:rsidR="00730510" w:rsidRPr="00992B72" w:rsidRDefault="00730510" w:rsidP="00B74865"/>
    <w:p w:rsidR="00730510" w:rsidRPr="00992B72" w:rsidRDefault="00730510" w:rsidP="00730510">
      <w:r w:rsidRPr="00992B72">
        <w:rPr>
          <w:b/>
          <w:noProof/>
        </w:rPr>
        <w:t>Ahmed</w:t>
      </w:r>
      <w:r w:rsidRPr="00992B72">
        <w:rPr>
          <w:b/>
        </w:rPr>
        <w:t xml:space="preserve"> </w:t>
      </w:r>
      <w:r w:rsidRPr="00992B72">
        <w:rPr>
          <w:b/>
          <w:noProof/>
        </w:rPr>
        <w:t>Tohamy</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The Curse of Natural Resources</w:t>
      </w:r>
    </w:p>
    <w:p w:rsidR="00730510" w:rsidRPr="00B64179" w:rsidRDefault="00730510" w:rsidP="00730510">
      <w:pPr>
        <w:rPr>
          <w:sz w:val="20"/>
          <w:szCs w:val="20"/>
        </w:rPr>
      </w:pPr>
      <w:r w:rsidRPr="00B64179">
        <w:rPr>
          <w:noProof/>
          <w:sz w:val="20"/>
          <w:szCs w:val="20"/>
        </w:rPr>
        <w:t>The negative correlation between primary exports as a proportion of gross domestic product (Xp/GDP) and gross domestic product growth in the last three decades of the twentieth century is a striking observation documented by Sachs and Warner (1997) as a natural resource curse, the notion that higher resource abundance causes lower economics. Mehlum</w:t>
      </w:r>
      <w:r w:rsidRPr="00B64179">
        <w:rPr>
          <w:i/>
          <w:noProof/>
          <w:sz w:val="20"/>
          <w:szCs w:val="20"/>
        </w:rPr>
        <w:t xml:space="preserve"> et al.</w:t>
      </w:r>
      <w:r w:rsidRPr="00B64179">
        <w:rPr>
          <w:noProof/>
          <w:sz w:val="20"/>
          <w:szCs w:val="20"/>
        </w:rPr>
        <w:t xml:space="preserve"> (2002) challenged this notion, arguing that the effect of resources on growth depends on a combination of Xp/GDP and the quality of the current institutions that utilise them. We build on their work to treat an identification problem (endogeneity) in the coefficient of Xp/GDP, which biases it downwards. In particular, foreign economic dependence determined by a country’s colonial history simultaneously increases primary exports and plummets growth. Using IV estimation, we exploit resource abundance measures such as gas reserves, etc. to instrument for Xp/GDP; our results support that resource abundance has in fact a positive yet insignificant impact on growth in 1980–2000 using a cross-sectional dataset of averages. Also, we demonstrate statistically the channel through which we believe the bias on the coefficient appears and comment on heterogeneity. Our results are robust to a) choice of controls, b) different specifications c) data reported by different organisations and d) measures of primary exports and institutions. Having discussed the limitations of our analysis, we address the policy and research implications </w:t>
      </w:r>
      <w:r w:rsidRPr="00B64179">
        <w:rPr>
          <w:noProof/>
          <w:sz w:val="20"/>
          <w:szCs w:val="20"/>
        </w:rPr>
        <w:lastRenderedPageBreak/>
        <w:t>of our study including that countries which find natural resources should not consider the impact of natural resources on economic growth and that researchers need to establish causal relationships with unbiased estimators.</w:t>
      </w:r>
    </w:p>
    <w:p w:rsidR="00B74865" w:rsidRPr="00B64179" w:rsidRDefault="00B74865" w:rsidP="00CD696E">
      <w:pPr>
        <w:rPr>
          <w:sz w:val="20"/>
          <w:szCs w:val="20"/>
        </w:rPr>
      </w:pPr>
    </w:p>
    <w:p w:rsidR="00730510" w:rsidRPr="00992B72" w:rsidRDefault="00730510" w:rsidP="00730510">
      <w:r w:rsidRPr="00992B72">
        <w:rPr>
          <w:b/>
          <w:noProof/>
        </w:rPr>
        <w:t>Zakee</w:t>
      </w:r>
      <w:r w:rsidRPr="00992B72">
        <w:rPr>
          <w:b/>
        </w:rPr>
        <w:t xml:space="preserve"> </w:t>
      </w:r>
      <w:r w:rsidRPr="00992B72">
        <w:rPr>
          <w:b/>
          <w:noProof/>
        </w:rPr>
        <w:t>Ulhaq</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Determining the Nature of Certain Finite Groups by Thompson Rigidity</w:t>
      </w:r>
    </w:p>
    <w:p w:rsidR="00730510" w:rsidRPr="00B64179" w:rsidRDefault="00730510" w:rsidP="00730510">
      <w:pPr>
        <w:rPr>
          <w:noProof/>
          <w:sz w:val="20"/>
          <w:szCs w:val="20"/>
        </w:rPr>
      </w:pPr>
      <w:r w:rsidRPr="00B64179">
        <w:rPr>
          <w:noProof/>
          <w:sz w:val="20"/>
          <w:szCs w:val="20"/>
        </w:rPr>
        <w:t>The origin of Galois Theory lies in the determination of solutions to polynomial equations and certain relationships between their roots. Central to Galois Theory lies one of mathematics most famous conjectures: the Inverse Galois problem (IGP). Fundamentally, it asks whether every finite group (that is a mathematical object of finite size) is realisable as a Galois group over the rational numbers (a highly symmetric structure related to polynomials with rational coefficients). A crowning achievement of the twentieth century was demonstrating that certain finite groups satisfy the IGP by a variety of different methods. However, though deep theoretical techniques exist in determining whether certain finite groups are realisable as Galois groups, the techniques have been disparate, each dealing with but a select few special cases.</w:t>
      </w:r>
    </w:p>
    <w:p w:rsidR="00730510" w:rsidRPr="00B64179" w:rsidRDefault="00730510" w:rsidP="00730510">
      <w:pPr>
        <w:rPr>
          <w:sz w:val="20"/>
          <w:szCs w:val="20"/>
        </w:rPr>
      </w:pPr>
      <w:r w:rsidRPr="00B64179">
        <w:rPr>
          <w:noProof/>
          <w:sz w:val="20"/>
          <w:szCs w:val="20"/>
        </w:rPr>
        <w:t>The goal of this project is to use an assortment of programming languages in order to determine whether a certain class of groups, known as Mathieu Groups, can be considered to be Galois groups. Hitherto, there has been little development in the computational realisation of the associated polynomials of Mathieu Groups, and we hope to provide some systematic way of explicitly evaluating the polynomials of these groups via computationally efficient algorithms. In particular, we shall implement the LLL-algorithm (1982), which essentially finds the roots of polynomials in certain special ‘number systems’. By implementing and modifying the said algorithm where necessary, we will further the study of the Inverse Galois Problem and establish more general techniques than presently available to understand the IGP.</w:t>
      </w:r>
    </w:p>
    <w:p w:rsidR="00730510" w:rsidRDefault="00730510" w:rsidP="00CD696E"/>
    <w:p w:rsidR="00730510" w:rsidRPr="00992B72" w:rsidRDefault="00730510" w:rsidP="00730510">
      <w:r w:rsidRPr="00992B72">
        <w:rPr>
          <w:b/>
          <w:noProof/>
        </w:rPr>
        <w:t>Helena</w:t>
      </w:r>
      <w:r w:rsidRPr="00992B72">
        <w:rPr>
          <w:b/>
        </w:rPr>
        <w:t xml:space="preserve"> </w:t>
      </w:r>
      <w:r w:rsidRPr="00992B72">
        <w:rPr>
          <w:b/>
          <w:noProof/>
        </w:rPr>
        <w:t>Wall</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How Do Students Use Mobile Technology within Face-to-Face Social Interaction in a Café Environment?</w:t>
      </w:r>
    </w:p>
    <w:p w:rsidR="00730510" w:rsidRPr="00B64179" w:rsidRDefault="00730510" w:rsidP="00730510">
      <w:pPr>
        <w:rPr>
          <w:noProof/>
          <w:sz w:val="20"/>
          <w:szCs w:val="20"/>
        </w:rPr>
      </w:pPr>
      <w:r w:rsidRPr="00B64179">
        <w:rPr>
          <w:noProof/>
          <w:sz w:val="20"/>
          <w:szCs w:val="20"/>
        </w:rPr>
        <w:t>Mobile technology use is embedded in all areas of human activity. However, despite the numerous applications and advantages, its use is often considered an obstruction in face-to-face interaction and in the classroom as a learning resource it is often stigmatised. Improving our understanding of how mobile devices are used outside the classroom will aid us in identifying opportunities to utilise them within formal learning contexts. In educational domains, such as modern foreign languages, identifying learning activities that pupils find engaging is a significant challenge, as identified by researchers such as Brendan Bartram (2010). Creating innovative activities involving the use of mobile devices could provide a means of addressing this challenge.</w:t>
      </w:r>
    </w:p>
    <w:p w:rsidR="00730510" w:rsidRPr="00B64179" w:rsidRDefault="00730510" w:rsidP="00730510">
      <w:pPr>
        <w:rPr>
          <w:sz w:val="20"/>
          <w:szCs w:val="20"/>
        </w:rPr>
      </w:pPr>
      <w:r w:rsidRPr="00B64179">
        <w:rPr>
          <w:noProof/>
          <w:sz w:val="20"/>
          <w:szCs w:val="20"/>
        </w:rPr>
        <w:t>I will conduct an ethnography exploring how students socialising in a café environment use mobile devices within their social interaction, specifically their face-to-face interaction, rather than computer-mediated interaction between parties, such as interfacing via social networks. Drawing on existing research into the role of technology use in social interaction, I anticipate that gaming will be an example of mobile device use within an interaction. I will collect data using field notes and audio-visual recordings. I will observe how device use influences their linguistic and non-verbal communication, including the meanings conveyed, in order to understand how it both contributes to and detracts from the normal dynamics of the interaction. This research will improve our understanding of how mobile devices are used to enrich face-to-face interaction, which will be valuable in informing the design of learning activities.</w:t>
      </w:r>
    </w:p>
    <w:p w:rsidR="00730510" w:rsidRDefault="00730510" w:rsidP="00CD696E"/>
    <w:p w:rsidR="00730510" w:rsidRPr="00992B72" w:rsidRDefault="00730510" w:rsidP="00730510">
      <w:r w:rsidRPr="00992B72">
        <w:rPr>
          <w:b/>
          <w:noProof/>
        </w:rPr>
        <w:t>Christopher</w:t>
      </w:r>
      <w:r w:rsidRPr="00992B72">
        <w:rPr>
          <w:b/>
        </w:rPr>
        <w:t xml:space="preserve"> </w:t>
      </w:r>
      <w:r w:rsidRPr="00992B72">
        <w:rPr>
          <w:b/>
          <w:noProof/>
        </w:rPr>
        <w:t>Woodgate</w:t>
      </w:r>
      <w:r w:rsidRPr="00992B72">
        <w:t xml:space="preserve"> (</w:t>
      </w:r>
      <w:r w:rsidRPr="00992B72">
        <w:rPr>
          <w:noProof/>
        </w:rPr>
        <w:t>University of Warwick</w:t>
      </w:r>
      <w:r w:rsidRPr="00992B72">
        <w:t xml:space="preserve">, </w:t>
      </w:r>
      <w:r w:rsidRPr="00992B72">
        <w:rPr>
          <w:noProof/>
        </w:rPr>
        <w:t>UK</w:t>
      </w:r>
      <w:r w:rsidR="00B64179">
        <w:t>)</w:t>
      </w:r>
      <w:r w:rsidR="00B64179">
        <w:br/>
      </w:r>
      <w:r w:rsidRPr="00992B72">
        <w:rPr>
          <w:i/>
          <w:noProof/>
        </w:rPr>
        <w:t>Feasibility of Measurement of Particle Polarisation at LHCb: Developing robust analysis techniques</w:t>
      </w:r>
    </w:p>
    <w:p w:rsidR="00730510" w:rsidRPr="00B64179" w:rsidRDefault="00730510" w:rsidP="00730510">
      <w:pPr>
        <w:rPr>
          <w:noProof/>
          <w:sz w:val="20"/>
          <w:szCs w:val="20"/>
        </w:rPr>
      </w:pPr>
      <w:r w:rsidRPr="00B64179">
        <w:rPr>
          <w:noProof/>
          <w:sz w:val="20"/>
          <w:szCs w:val="20"/>
        </w:rPr>
        <w:lastRenderedPageBreak/>
        <w:t>Particle physics is one of the most exciting and fast moving areas in modern physics, with multiple avenues of research being explored at once. One such area is that of b-physics; which concerns the study of particles containing the b-quark. The large data sets collected by the at CERN over recent years have renewed interest in studying certain types of these particles and their associated decays. The LHCb experiment is uniquely poised to study a type of particle called the baryon and, in particular, those baryons containing the b-quark.</w:t>
      </w:r>
    </w:p>
    <w:p w:rsidR="00730510" w:rsidRPr="00B64179" w:rsidRDefault="00730510" w:rsidP="00730510">
      <w:pPr>
        <w:rPr>
          <w:sz w:val="20"/>
          <w:szCs w:val="20"/>
        </w:rPr>
      </w:pPr>
      <w:r w:rsidRPr="00B64179">
        <w:rPr>
          <w:noProof/>
          <w:sz w:val="20"/>
          <w:szCs w:val="20"/>
        </w:rPr>
        <w:t>Historically, most observations were made for the Lambda_b baryons. In this project, we aim to investigate the feasibility of measuring the production polarisation of another particle, the Xi_b baryon, using the LHCb experiment. We develop a robust analysis strategy to be used on LHCb data to determine the achievable precision of such measurements.</w:t>
      </w:r>
    </w:p>
    <w:p w:rsidR="00730510" w:rsidRDefault="00730510" w:rsidP="00CD696E"/>
    <w:p w:rsidR="00A44E54" w:rsidRPr="00B64179" w:rsidRDefault="00A44E54" w:rsidP="004823ED">
      <w:r w:rsidRPr="00A44E54">
        <w:rPr>
          <w:b/>
        </w:rPr>
        <w:t>Simone Abley</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br/>
      </w:r>
      <w:r w:rsidRPr="00A44E54">
        <w:rPr>
          <w:i/>
        </w:rPr>
        <w:t>Availability of fresh fruit and vegetables at farmers markets, supermarkets and independent grocers in rural versus metropolitan areas of Victoria, Australia</w:t>
      </w:r>
    </w:p>
    <w:p w:rsidR="00A44E54" w:rsidRPr="00B64179" w:rsidRDefault="00A44E54" w:rsidP="00A44E54">
      <w:pPr>
        <w:rPr>
          <w:sz w:val="20"/>
          <w:szCs w:val="20"/>
        </w:rPr>
      </w:pPr>
      <w:r w:rsidRPr="00B64179">
        <w:rPr>
          <w:sz w:val="20"/>
          <w:szCs w:val="20"/>
        </w:rPr>
        <w:t xml:space="preserve">Background: Rural communities across Australia are less able to access fresh fruit and vegetables due to a number of factors. This study aims to explore the proportion of seasonal fresh fruits and vegetables available at farmers markets, supermarkets and independent grocers in Victoria, and whether there is a difference in the number of fruits and vegetables available in metropolitan suburbs compared to rural towns. </w:t>
      </w:r>
      <w:r w:rsidRPr="00B64179">
        <w:rPr>
          <w:sz w:val="20"/>
          <w:szCs w:val="20"/>
        </w:rPr>
        <w:br/>
      </w:r>
      <w:r w:rsidRPr="00B64179">
        <w:rPr>
          <w:sz w:val="20"/>
          <w:szCs w:val="20"/>
        </w:rPr>
        <w:br/>
        <w:t xml:space="preserve">Methods: Seventeen VFMA accredited farmers markets were visited across Victoria, with eight being rural farmers markets and nine being metropolitan farmers markets. Seventeen supermarkets and 16 independent grocers within 15 km from each farmers market were also visited. From a list of 43 autumn fruits and vegetables, all available produce at all farmers markets were recorded, as well as all produce at each supermarket and independent grocer. Data was then analysed using descriptive statistics. </w:t>
      </w:r>
    </w:p>
    <w:p w:rsidR="00A44E54" w:rsidRPr="00B64179" w:rsidRDefault="00A44E54" w:rsidP="00A44E54">
      <w:pPr>
        <w:rPr>
          <w:sz w:val="20"/>
          <w:szCs w:val="20"/>
        </w:rPr>
      </w:pPr>
      <w:r w:rsidRPr="00B64179">
        <w:rPr>
          <w:sz w:val="20"/>
          <w:szCs w:val="20"/>
        </w:rPr>
        <w:t xml:space="preserve">Results: From the 43 autumn fruits and vegetables listed, 78.5% were available at metropolitan farmers markets, whereas just 47.1% were available at rural farmers markets across Victoria. At metropolitan supermarkets, 79.6% of the autumn produce was available compared to 86.6% available at the rural supermarkets. When analysing independent grocers, 83.7% of the fruits and vegetables were available in metropolitan areas, compared to 69.5% available in rural areas. </w:t>
      </w:r>
    </w:p>
    <w:p w:rsidR="000F1623" w:rsidRPr="00B64179" w:rsidRDefault="00A44E54" w:rsidP="00A44E54">
      <w:pPr>
        <w:rPr>
          <w:sz w:val="20"/>
          <w:szCs w:val="20"/>
        </w:rPr>
      </w:pPr>
      <w:r w:rsidRPr="00B64179">
        <w:rPr>
          <w:sz w:val="20"/>
          <w:szCs w:val="20"/>
        </w:rPr>
        <w:t>Conclusion: Autumn fruits and vegetables are least accessible in rural areas of Victoria, with the exception of rural supermarkets. Rural farmers markets provided less than half of the seasonal produce, indicating their need for more support in order to provide rural communities with increased access to fresh produce.</w:t>
      </w:r>
    </w:p>
    <w:p w:rsidR="00A44E54" w:rsidRDefault="00A44E54" w:rsidP="004823ED"/>
    <w:p w:rsidR="00A44E54" w:rsidRPr="00A44E54" w:rsidRDefault="00A44E54" w:rsidP="004823ED">
      <w:pPr>
        <w:rPr>
          <w:i/>
        </w:rPr>
      </w:pPr>
      <w:r w:rsidRPr="00A44E54">
        <w:rPr>
          <w:b/>
        </w:rPr>
        <w:t>Xiaoying Gu</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Mechanical behaviours of sedimentary rocks under extreme temperature conditions: insight to Underground Coal Gasification.</w:t>
      </w:r>
      <w:r>
        <w:rPr>
          <w:i/>
        </w:rPr>
        <w:t xml:space="preserve"> </w:t>
      </w:r>
      <w:r w:rsidRPr="00A44E54">
        <w:rPr>
          <w:i/>
        </w:rPr>
        <w:t>(UCG)</w:t>
      </w:r>
    </w:p>
    <w:p w:rsidR="00A44E54" w:rsidRPr="00B64179" w:rsidRDefault="00A44E54" w:rsidP="004823ED">
      <w:pPr>
        <w:rPr>
          <w:sz w:val="20"/>
          <w:szCs w:val="20"/>
        </w:rPr>
      </w:pPr>
      <w:r w:rsidRPr="00B64179">
        <w:rPr>
          <w:sz w:val="20"/>
          <w:szCs w:val="20"/>
        </w:rPr>
        <w:t xml:space="preserve">As fundamental understanding of the thermal physical and mechanical characteristics of rocks has been a significant topic in rock mechanics. As underground coal gasification has growth in popularity of the energy technology for the world’s coal conversion and utilisation. It is necessary to investigate the mechanical, miro-structural and mineralogical property alterations of sedimentary rocks while considering the long-term integrity of UCG. Quantitative tests in the laboratory were conducted on Hawkesbury sandstone under extreme temperatures (25-1000°C) and different cooling conditions (slow cooling and quenching). And series of mechanical testing consisted of the compressive strength test, acoustic emission, ARAMIS® test, scanning electron microscopy (SEM), X-ray diffraction (XRD) and micro-CT-scanning techniques. Based on previous researches, there is possible that at a particular temperature, the mechanical behaviours should have reverse trend compare to before reaching the critical temperature. Besides, with different cooling conditions, the mechanical properties are varied and may have different alteration tendency while analysing the numerical </w:t>
      </w:r>
      <w:r w:rsidRPr="00B64179">
        <w:rPr>
          <w:sz w:val="20"/>
          <w:szCs w:val="20"/>
        </w:rPr>
        <w:lastRenderedPageBreak/>
        <w:t>graphs. After these comprehensive tests, the results could provide a new group of dataset to geotechnical and energy field about the UCG long-term stability and fill the gaps of lack researches on the combination of both extreme temperature and cooling conditions higher than 600°C.</w:t>
      </w:r>
    </w:p>
    <w:p w:rsidR="00A44E54" w:rsidRPr="00B64179" w:rsidRDefault="00A44E54" w:rsidP="004823ED">
      <w:pPr>
        <w:rPr>
          <w:sz w:val="20"/>
          <w:szCs w:val="20"/>
        </w:rPr>
      </w:pPr>
    </w:p>
    <w:p w:rsidR="00A44E54" w:rsidRDefault="00A44E54" w:rsidP="004823ED">
      <w:pPr>
        <w:rPr>
          <w:i/>
        </w:rPr>
      </w:pPr>
      <w:r>
        <w:rPr>
          <w:b/>
        </w:rPr>
        <w:t xml:space="preserve">Sharon Kiew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Effects of the microenvironment on exosomal production and content in Human Amnion Epithelial Cells and Mesenchymal Stem Cells</w:t>
      </w:r>
    </w:p>
    <w:p w:rsidR="00A44E54" w:rsidRPr="00B64179" w:rsidRDefault="00A44E54" w:rsidP="004823ED">
      <w:pPr>
        <w:rPr>
          <w:sz w:val="20"/>
          <w:szCs w:val="20"/>
        </w:rPr>
      </w:pPr>
      <w:r w:rsidRPr="00B64179">
        <w:rPr>
          <w:sz w:val="20"/>
          <w:szCs w:val="20"/>
        </w:rPr>
        <w:t>Stem cells are a key component of regenerative medicine, as several categories of the cell possess regenerative properties. Exosomes are 30-100nm extracellular vesicles secreted by cells. Research into stem cell derived exosomes, like hAECs and MSCs, has the potential to complement the search for cell-free based therapeutics in regenerative medicine. Stem cell-derived exosomes have been implicated in crucial physiological and pathological processes in accordance with the functions of their producer cells. Exosomes have also been reported as a vehicle of choice to mediate intercellular communication. Despite their potential in regenerative medicine, the production of exosomes has not been optimized. We hypothesised that differential priming will affect the characteristics of exosomes. We aim to characterise MSC after isolation and passage in culture, then characterise MSC-derived exosomes following passage effects, following hAEC- and MSC-derived exosomes from priming effects. Wharton’s Jelly-derived MSCs will be verified by the criteria set by the International Society of Cellular therapy, and other commonly identified markers via flow cytometry. Their clonal nature will be verified through colony forming unit assays and their differentiation capacity through differentiation assays. MSCs and hAECs were passaged to P3 and cultured under normoxic and 5% hypoxic conditions for exosome harvest. MSCs were further passaged to P5 for exosome harvest. Exosomes were later characterise through electron microscopy (EM), macrophage phagocytosis assays, T-cell proliferation assays, nanotracking particle analysis (NTA) and a bicinchoninic acid assay (BCA).</w:t>
      </w:r>
    </w:p>
    <w:p w:rsidR="00A44E54" w:rsidRPr="00B64179" w:rsidRDefault="00A44E54" w:rsidP="004823ED">
      <w:pPr>
        <w:rPr>
          <w:sz w:val="20"/>
          <w:szCs w:val="20"/>
        </w:rPr>
      </w:pPr>
    </w:p>
    <w:p w:rsidR="00A44E54" w:rsidRPr="00A44E54" w:rsidRDefault="00A44E54" w:rsidP="004823ED">
      <w:pPr>
        <w:rPr>
          <w:i/>
        </w:rPr>
      </w:pPr>
      <w:r>
        <w:rPr>
          <w:b/>
        </w:rPr>
        <w:t xml:space="preserve">Tristan McCarthy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Evolution and breakdown of helical root vortex from a hub-less rotor</w:t>
      </w:r>
    </w:p>
    <w:p w:rsidR="00A44E54" w:rsidRPr="00B64179" w:rsidRDefault="00A44E54" w:rsidP="004823ED">
      <w:pPr>
        <w:rPr>
          <w:sz w:val="20"/>
          <w:szCs w:val="20"/>
        </w:rPr>
      </w:pPr>
      <w:r w:rsidRPr="00B64179">
        <w:rPr>
          <w:sz w:val="20"/>
          <w:szCs w:val="20"/>
        </w:rPr>
        <w:t>Wind turbines produce helical vortices at the blade tips and roots which travel downstream and induce cyclic loads on other turbines as well as affect their efficiency. The factors which lead to the breakdown of the stability of these vortices are not well understood and it has been surmised that the root vortices interact with the tip vortices, however, little research has been performed due to the difficulty of isolating the root vortices in testing. A novel experimental turbine design capable of generating unimpeded helical root vortices by replacing the standard wind turbine hub with an annulus where blades are attached facing the centre was tested with a blade specially designed to produce a strong root vortex. Experiments with a single blade attached at three different flow speeds and a fixed blade rotation rate were conducted in a water channel where particles in the flow were illuminated by a laser sheet created by passing a laser beam through an optical piece. High-speed camera footage was inputted to a computer program to determine the flow velocity at every point in the plane and over time. Preliminary results show that, as is the case for tip vortices, root vortex evolution and breakdown is a function of the ratio of the flow speed at the root to the flow speed of the undisturbed fluid upstream. Further research with multiple blades is to be performed to determine the interaction between multiple root vortices with potential application in improving wind farm efficiency.</w:t>
      </w:r>
    </w:p>
    <w:p w:rsidR="00A44E54" w:rsidRDefault="00A44E54" w:rsidP="004823ED"/>
    <w:p w:rsidR="00A44E54" w:rsidRPr="00A44E54" w:rsidRDefault="00A44E54" w:rsidP="004823ED">
      <w:pPr>
        <w:rPr>
          <w:i/>
        </w:rPr>
      </w:pPr>
      <w:r>
        <w:rPr>
          <w:b/>
        </w:rPr>
        <w:t xml:space="preserve">Tess Morton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Exercise interventions to assist in slowing cognitive and physical impairments in mild-dementia.</w:t>
      </w:r>
    </w:p>
    <w:p w:rsidR="00A44E54" w:rsidRPr="00B64179" w:rsidRDefault="00A44E54" w:rsidP="004823ED">
      <w:pPr>
        <w:rPr>
          <w:sz w:val="20"/>
          <w:szCs w:val="20"/>
        </w:rPr>
      </w:pPr>
      <w:r w:rsidRPr="00B64179">
        <w:rPr>
          <w:sz w:val="20"/>
          <w:szCs w:val="20"/>
        </w:rPr>
        <w:t xml:space="preserve">This paper aims to provide insight into the ability of the non-pharmacological treatment, exercise, in treating cognitive and physical impairments in mild-dementia. Dementia affects 47 million people around the world, with 9.9 million cases being diagnosed each year. The impact of dementia is detrimental, leading to a poor </w:t>
      </w:r>
      <w:r w:rsidRPr="00B64179">
        <w:rPr>
          <w:sz w:val="20"/>
          <w:szCs w:val="20"/>
        </w:rPr>
        <w:lastRenderedPageBreak/>
        <w:t>quality of life comprised of an erosion of independence and capability of simple activities including recognition of spouse and bladder control. Current treatment for dementia are cholinesterase inhibitors yet many individuals with dementia require supplementary assistance. Recent bodies of research indicate that exercise is effective in both delaying the onset and progression of dementia, however, there is limited research thus greater insight is paramount. Activity of daily living (ADL) disability can arise from dementia. Furthermore, physical inactivity is a key risk factor for accelerating the poor outcomes of dementia, contributing to decreases in neurochemical levels and brain structures, inhibiting promotion of voluntary movement resulting in a deteriorating cycle. An assessment of an exercise intervention attempting to slow the decline of physical and cognitive function of adults diagnosed with dementia should be implemented. The study would comprise of adults confirmed with dementia diagnosis. The use of the Seattle Protocol would be employed. It is hypothesised that those suffering from dementia increasing their physical activity levels would have improved physical and cognitive function. The information provided from this literature may be of benefit to those who are currently suffering from mild-dementia, and could, if successful, slow the prevention and progression of the disease.</w:t>
      </w:r>
    </w:p>
    <w:p w:rsidR="00A44E54" w:rsidRDefault="00A44E54" w:rsidP="004823ED"/>
    <w:p w:rsidR="00A44E54" w:rsidRPr="00A44E54" w:rsidRDefault="00A44E54" w:rsidP="004823ED">
      <w:pPr>
        <w:rPr>
          <w:i/>
        </w:rPr>
      </w:pPr>
      <w:r w:rsidRPr="00A44E54">
        <w:rPr>
          <w:b/>
        </w:rPr>
        <w:t>Jona Mustafovska</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Investigating the Effect of Blue Light on Sleep Latency</w:t>
      </w:r>
    </w:p>
    <w:p w:rsidR="00A44E54" w:rsidRPr="00B64179" w:rsidRDefault="00A44E54" w:rsidP="004823ED">
      <w:pPr>
        <w:rPr>
          <w:sz w:val="20"/>
          <w:szCs w:val="20"/>
        </w:rPr>
      </w:pPr>
      <w:r w:rsidRPr="00B64179">
        <w:rPr>
          <w:sz w:val="20"/>
          <w:szCs w:val="20"/>
        </w:rPr>
        <w:t xml:space="preserve">Light is the central cue in the regulation of our biological activities, especially in sleep. Known as circadian rhythms, the processes in sleep depend on light to be reset in a 24-hour pattern. However, research has suggested that blue light before desired bed time influences sleeping patterns adversely. This study aims to determine the influence of blue light on the time it takes for an individual to fall asleep, known as the Sleep Onset Latency (SOL). University students (n=30) will be allocated into two groups, with one group listening to a podcast one hour before they sleep, and the other reading the transcript of the podcast on a device. During this time, participants will wear acti-watches, to obtain a more accurate measure of blue light levels and will record their bed-times and wake-times in a sleep diary for three days. Measured in lux, the blue light data will be explored through the program of SAS to determine any patterns between both conditions and the Sleep Onset Latency. It is hypothesised that individuals reading the podcast on the device will have a later sleep onset than the individuals listening to the podcast. This research is essential in understanding the effects of blue light on one’s sleeping patterns, which can subsequently contribute to sleeping disorders like insomnia, if exposure to blue light is constant. </w:t>
      </w:r>
    </w:p>
    <w:p w:rsidR="00D0120A" w:rsidRDefault="00D0120A" w:rsidP="004823ED">
      <w:pPr>
        <w:rPr>
          <w:b/>
        </w:rPr>
      </w:pPr>
    </w:p>
    <w:p w:rsidR="00A44E54" w:rsidRPr="00A44E54" w:rsidRDefault="00A44E54" w:rsidP="004823ED">
      <w:pPr>
        <w:rPr>
          <w:i/>
        </w:rPr>
      </w:pPr>
      <w:r w:rsidRPr="00A44E54">
        <w:rPr>
          <w:b/>
        </w:rPr>
        <w:t>Cliona Twohig</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A systems-thinking approach for local food system change: A case study</w:t>
      </w:r>
    </w:p>
    <w:p w:rsidR="00A44E54" w:rsidRPr="00B64179" w:rsidRDefault="00A44E54" w:rsidP="00A44E54">
      <w:pPr>
        <w:rPr>
          <w:sz w:val="20"/>
          <w:szCs w:val="20"/>
        </w:rPr>
      </w:pPr>
      <w:r w:rsidRPr="00B64179">
        <w:rPr>
          <w:sz w:val="20"/>
          <w:szCs w:val="20"/>
        </w:rPr>
        <w:t>Background: The local food system in the City of Casey is contributing to many resident's low fruit and vegetable intake. Due to the complexity of the issue, it is unclear what action needs to be taken.</w:t>
      </w:r>
    </w:p>
    <w:p w:rsidR="00A44E54" w:rsidRPr="00B64179" w:rsidRDefault="00A44E54" w:rsidP="00A44E54">
      <w:pPr>
        <w:rPr>
          <w:sz w:val="20"/>
          <w:szCs w:val="20"/>
        </w:rPr>
      </w:pPr>
      <w:r w:rsidRPr="00B64179">
        <w:rPr>
          <w:sz w:val="20"/>
          <w:szCs w:val="20"/>
        </w:rPr>
        <w:t>Method: This study used a systems-thinking framework to identify opportunities for local food system development. A group of 8 researchers gathered information from a situational analysis, community engagement and lived community experiences to create a causal loop diagrams (CLDs). CLDs visually map relationships between a system’s variables, including the dynamic feedback processes that are responsive to system change. Leverage points denote where actions should be targeted for maximum impact on the system.</w:t>
      </w:r>
    </w:p>
    <w:p w:rsidR="00A44E54" w:rsidRPr="00B64179" w:rsidRDefault="00A44E54" w:rsidP="00A44E54">
      <w:pPr>
        <w:rPr>
          <w:sz w:val="20"/>
          <w:szCs w:val="20"/>
        </w:rPr>
      </w:pPr>
      <w:r w:rsidRPr="00B64179">
        <w:rPr>
          <w:sz w:val="20"/>
          <w:szCs w:val="20"/>
        </w:rPr>
        <w:t>Results: 36 variables and 79 relationships which impact fruit and vegetable intake were mapped. Key leverage points were local government partnerships, urban sprawl and footpath availability. The process enabled the prioritisation of action strategies that target multiple areas of the system. Novel action strategies were identified through examining feedback loops between variables previously seen as unrelated. CLDs were used to effectively communicate these complex relationships to community stakeholders and broaden their understanding of the determinants of fresh food access.</w:t>
      </w:r>
    </w:p>
    <w:p w:rsidR="00A44E54" w:rsidRPr="00B64179" w:rsidRDefault="00A44E54" w:rsidP="00A44E54">
      <w:pPr>
        <w:rPr>
          <w:sz w:val="20"/>
          <w:szCs w:val="20"/>
        </w:rPr>
      </w:pPr>
      <w:r w:rsidRPr="00B64179">
        <w:rPr>
          <w:sz w:val="20"/>
          <w:szCs w:val="20"/>
        </w:rPr>
        <w:lastRenderedPageBreak/>
        <w:t>Implications: CLD’s are a useful tool to conceptually analyse local food systems and provide a shared understanding of the issue. They are a platform to determine most advantages innovative strategies for the community to undertake. Due to the dynamic nature of local food systems, CLDs should be periodically reviewed to assess the actual and unintended impact of any implemented action strategies.</w:t>
      </w:r>
    </w:p>
    <w:p w:rsidR="00A44E54" w:rsidRDefault="00A44E54" w:rsidP="004823ED">
      <w:pPr>
        <w:rPr>
          <w:b/>
        </w:rPr>
      </w:pPr>
    </w:p>
    <w:p w:rsidR="00A44E54" w:rsidRPr="00A44E54" w:rsidRDefault="00A44E54" w:rsidP="004823ED">
      <w:pPr>
        <w:rPr>
          <w:i/>
        </w:rPr>
      </w:pPr>
      <w:r w:rsidRPr="00A44E54">
        <w:rPr>
          <w:b/>
        </w:rPr>
        <w:t>Ryan Attard</w:t>
      </w:r>
      <w:r>
        <w:t xml:space="preserve">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2017 and beyond: Politics in the world of Trump and Brexit</w:t>
      </w:r>
    </w:p>
    <w:p w:rsidR="00A44E54" w:rsidRPr="00B64179" w:rsidRDefault="00A44E54" w:rsidP="004823ED">
      <w:pPr>
        <w:rPr>
          <w:sz w:val="20"/>
          <w:szCs w:val="20"/>
        </w:rPr>
      </w:pPr>
      <w:r w:rsidRPr="00B64179">
        <w:rPr>
          <w:sz w:val="20"/>
          <w:szCs w:val="20"/>
        </w:rPr>
        <w:t>2016 will be remembered for the election of Donald Trump and the United Kingdom voting to withdraw from the European Union. Both these events have become synonymous with dissatisfaction regarding globalisation and the political establishment. However, will future represent similar trends? With elections in France, the United Kingdom and Germany, a major component of Western society will again be asked which direction they prefer: globalisation and rule by the political establishment, or a shift to anti-globalisation and an overhaul of political norms. This study attempts to discuss differences amongst various demographics in Western states in their response to globalisation and the current political climate. With the collection of both qualitative and quantitative data from Australian voters, the political satisfaction of various demographics will be measured and compared. The collection of these responses aim to expose similarities and differences between Australians and citizens of other Western states. Overall, this study attempts to highlight distinctions between demographics regarding attitudes to issues such as immigration, trade and globalisation. This includes contrasting these results to those of studies from other countries with similar political, social and economic structures. Ultimately, this may be crucial in appraising the future direction of the Australian political climate from the rest of Western society.</w:t>
      </w:r>
    </w:p>
    <w:p w:rsidR="00A44E54" w:rsidRDefault="00A44E54" w:rsidP="004823ED"/>
    <w:p w:rsidR="00A44E54" w:rsidRPr="00A44E54" w:rsidRDefault="00A44E54" w:rsidP="004823ED">
      <w:pPr>
        <w:rPr>
          <w:i/>
        </w:rPr>
      </w:pPr>
      <w:r>
        <w:rPr>
          <w:b/>
        </w:rPr>
        <w:t xml:space="preserve">Louisa Chiam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A44E54">
        <w:rPr>
          <w:i/>
        </w:rPr>
        <w:t>Media Responsibility and the Rise of Islamaphobia</w:t>
      </w:r>
    </w:p>
    <w:p w:rsidR="00A44E54" w:rsidRPr="00B64179" w:rsidRDefault="00A44E54" w:rsidP="004823ED">
      <w:pPr>
        <w:rPr>
          <w:sz w:val="20"/>
          <w:szCs w:val="20"/>
        </w:rPr>
      </w:pPr>
      <w:r w:rsidRPr="00B64179">
        <w:rPr>
          <w:sz w:val="20"/>
          <w:szCs w:val="20"/>
        </w:rPr>
        <w:t>A common assumption is often drawn between the profiling of Islam in the media and racism. Simplistically this might be true, but misrepresentation can be complicated and insidious. In particular, this can affect the youth demographic in how they feel they are perceived - resulting in outcomes such as an actualisation of the stereotypes and the normalisation of racism. The existing literature is limited in information, often not taking into account the impact of sensational stereotyping on the youth of the general Muslim population in Australia. I therefore have conducted a study of the misrepresentation of Muslims in the media aiming to link the indirect relationship between media harm and society by addressing the following: How has the overexposure of stereotypes in the media led to the normalisation of racism for the non-Islamic demographic? How does racial profiling in the media affect the way that Muslim youth perceive themselves? This study will provide a critical review and comprehensive analysis of news articles and social media responses. Additionally, data will be collected from a survey compiling data from both Muslim and non-Muslim youth on the effects of racism will also be conducted. I hypothesise that the findings will show a majority anti-Muslim bias resultant of the use of sensationalised racial profiling in the media. Importantly, this issue impacts the unity of present and future communities. Findings will therefore be crucial to highlight the pressures of stereotypes and promote the unbias standardisation of prejudices against minority groups.</w:t>
      </w:r>
    </w:p>
    <w:p w:rsidR="00A44E54" w:rsidRPr="00A44E54" w:rsidRDefault="00A44E54" w:rsidP="004823ED">
      <w:pPr>
        <w:rPr>
          <w:b/>
        </w:rPr>
      </w:pPr>
    </w:p>
    <w:p w:rsidR="00A44E54" w:rsidRPr="00B64179" w:rsidRDefault="00A44E54" w:rsidP="004823ED">
      <w:pPr>
        <w:rPr>
          <w:b/>
          <w:i/>
        </w:rPr>
      </w:pPr>
      <w:r w:rsidRPr="00A44E54">
        <w:rPr>
          <w:b/>
        </w:rPr>
        <w:t>Danielle Epskamp</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rPr>
          <w:b/>
          <w:i/>
        </w:rPr>
        <w:br/>
      </w:r>
      <w:r w:rsidRPr="00A44E54">
        <w:rPr>
          <w:i/>
        </w:rPr>
        <w:t>Apocalypse Then: Savonarola, preaching and the perceived crisis in Florence 1494-1498.</w:t>
      </w:r>
    </w:p>
    <w:p w:rsidR="00A44E54" w:rsidRPr="00B64179" w:rsidRDefault="00A44E54" w:rsidP="004823ED">
      <w:pPr>
        <w:rPr>
          <w:sz w:val="20"/>
          <w:szCs w:val="20"/>
        </w:rPr>
      </w:pPr>
      <w:r w:rsidRPr="00B64179">
        <w:rPr>
          <w:sz w:val="20"/>
          <w:szCs w:val="20"/>
        </w:rPr>
        <w:t xml:space="preserve">Following the exile of the Medici family and arrival of King Charles VII of France in Florence, life in the city of Florence was in a state of crisis. The public practice of preaching within the city can be seen to have promulgated the anxiety and fears of such crisis through the use of apocalyptic language. With attention to prominent Dominican preacher Fra Girolamo Savonarola, I will interrogate the use of apocalyptic language </w:t>
      </w:r>
      <w:r w:rsidRPr="00B64179">
        <w:rPr>
          <w:sz w:val="20"/>
          <w:szCs w:val="20"/>
        </w:rPr>
        <w:lastRenderedPageBreak/>
        <w:t>within his sermons to better understand the creation of a state of crisis within Florence. I aim to complement these findings with primary sources from the period that allude to the reception of such sermons in Florence. Whilst Savonarola’s apocalyptic sermons have commonly been thought to have been a product of a city in crisis, it is perhaps better understood that he was an agent in fostering the mentality of apocalypse and crisis in a city that was undergoing rapid change. Through this on-going research, greater understanding will be gained regarding the significance of apocalyptic preaching and its effect on crafting crisis in the social climate of Florence.</w:t>
      </w:r>
      <w:r w:rsidR="00EF0424">
        <w:rPr>
          <w:sz w:val="20"/>
          <w:szCs w:val="20"/>
        </w:rPr>
        <w:br/>
      </w:r>
    </w:p>
    <w:p w:rsidR="00A44E54" w:rsidRPr="00D0120A" w:rsidRDefault="00A44E54" w:rsidP="004823ED">
      <w:pPr>
        <w:rPr>
          <w:i/>
        </w:rPr>
      </w:pPr>
      <w:r>
        <w:rPr>
          <w:b/>
        </w:rPr>
        <w:t xml:space="preserve">Madeline Hunt </w:t>
      </w:r>
      <w:r w:rsidR="00D0120A" w:rsidRPr="00992B72">
        <w:t>(</w:t>
      </w:r>
      <w:r w:rsidR="00D0120A" w:rsidRPr="00992B72">
        <w:rPr>
          <w:noProof/>
        </w:rPr>
        <w:t>Monash University</w:t>
      </w:r>
      <w:r w:rsidR="00D0120A" w:rsidRPr="00992B72">
        <w:t xml:space="preserve">, </w:t>
      </w:r>
      <w:r w:rsidR="00D0120A" w:rsidRPr="00992B72">
        <w:rPr>
          <w:noProof/>
        </w:rPr>
        <w:t>Australia</w:t>
      </w:r>
      <w:r w:rsidR="00D0120A" w:rsidRPr="00992B72">
        <w:t>)</w:t>
      </w:r>
      <w:r w:rsidR="00B64179">
        <w:rPr>
          <w:i/>
        </w:rPr>
        <w:br/>
      </w:r>
      <w:r w:rsidR="00D0120A" w:rsidRPr="00D0120A">
        <w:rPr>
          <w:i/>
        </w:rPr>
        <w:t>The Greeks, The Arabs and the Renaissance</w:t>
      </w:r>
    </w:p>
    <w:p w:rsidR="00A44E54" w:rsidRPr="00B64179" w:rsidRDefault="00D0120A" w:rsidP="004823ED">
      <w:pPr>
        <w:rPr>
          <w:sz w:val="20"/>
          <w:szCs w:val="20"/>
        </w:rPr>
      </w:pPr>
      <w:r w:rsidRPr="00B64179">
        <w:rPr>
          <w:sz w:val="20"/>
          <w:szCs w:val="20"/>
        </w:rPr>
        <w:t>The Renaissance of the fifteenth, sixteenth and seventeenth centuries was an era of rediscovering the ancient thinkers and a period of new thinking, a lot of which is important to multiple disciplines today. The ancient Greek thinkers’ theories had been past down to the Renaissance thinkers through the Arab translation movement of the 700s-1200s. But how did these two different periods of thinking, that of the Greeks and the Arabs, help the development of the new ideologies formed in the period of ‘rebirth’? Through the example of works by people like Copernicus and Galileo, this paper will attempt to show how these two vastly different periods of history influenced the new thinking of the Renaissance and continue to do so into the present day, even if we are not aware of it. Through the use of secondary sources such as Freely’s Light from the East: How the Science of Medieval Islam Helped to Shape the Western World and Saliba’s Islamic Science and the Making of the European Renaissance, we can trace the route this knowledge and thinking took from the Islamic east to the Christian West. Historians who focus on these different periods of history know there is a link between them, but this paper attempts to find exactly what started the Renaissance in the European West so long after the Islamic East. The implications of this research on the modern world do not necessarily change what will develop in the future, but help to understand the past.</w:t>
      </w:r>
    </w:p>
    <w:p w:rsidR="00D0120A" w:rsidRDefault="00D0120A" w:rsidP="004823ED"/>
    <w:p w:rsidR="00D0120A" w:rsidRPr="00D0120A" w:rsidRDefault="00D0120A" w:rsidP="004823ED">
      <w:pPr>
        <w:rPr>
          <w:i/>
        </w:rPr>
      </w:pPr>
      <w:r>
        <w:rPr>
          <w:b/>
        </w:rPr>
        <w:t xml:space="preserve">Hana Richmond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D0120A">
        <w:rPr>
          <w:i/>
        </w:rPr>
        <w:t>Japanese language use in English-speaking online Communities of Practice and its impact on social inclusion</w:t>
      </w:r>
    </w:p>
    <w:p w:rsidR="00D0120A" w:rsidRPr="00B64179" w:rsidRDefault="00D0120A" w:rsidP="00D0120A">
      <w:pPr>
        <w:rPr>
          <w:sz w:val="20"/>
          <w:szCs w:val="20"/>
        </w:rPr>
      </w:pPr>
      <w:r w:rsidRPr="00B64179">
        <w:rPr>
          <w:sz w:val="20"/>
          <w:szCs w:val="20"/>
        </w:rPr>
        <w:t>The internet plays a major role in modern society - through the internet, we are able to connect with others with no geographical boundaries, as well as the possibility to create different identities. It also helps facilitate the creation of Communities of Practice, even if the members have never met offline.</w:t>
      </w:r>
    </w:p>
    <w:p w:rsidR="00D0120A" w:rsidRPr="00B64179" w:rsidRDefault="00D0120A" w:rsidP="00D0120A">
      <w:pPr>
        <w:rPr>
          <w:sz w:val="20"/>
          <w:szCs w:val="20"/>
        </w:rPr>
      </w:pPr>
      <w:r w:rsidRPr="00B64179">
        <w:rPr>
          <w:sz w:val="20"/>
          <w:szCs w:val="20"/>
        </w:rPr>
        <w:t>The concept of online Communities of Practice is still very new, with little research being done in this field. Therefore, in this project, I will look at the use of language in an English-language context (English websites) - specifically, Japanese language (eg. borrowings) used in one online English Community of Practice, who aim to improve their knowledge of Japanese language and pop culture.</w:t>
      </w:r>
    </w:p>
    <w:p w:rsidR="00D0120A" w:rsidRPr="00B64179" w:rsidRDefault="00D0120A" w:rsidP="00D0120A">
      <w:pPr>
        <w:rPr>
          <w:sz w:val="20"/>
          <w:szCs w:val="20"/>
        </w:rPr>
      </w:pPr>
      <w:r w:rsidRPr="00B64179">
        <w:rPr>
          <w:sz w:val="20"/>
          <w:szCs w:val="20"/>
        </w:rPr>
        <w:t>By creating a corpus, I collected the language that was used on the website. Figuring out factors of users, such as age and gender, through the internet is difficult. However, analysing the language of a user makes it easier to guess what these factors may be.</w:t>
      </w:r>
    </w:p>
    <w:p w:rsidR="00A44E54" w:rsidRPr="00B64179" w:rsidRDefault="00D0120A" w:rsidP="00D0120A">
      <w:pPr>
        <w:rPr>
          <w:sz w:val="20"/>
          <w:szCs w:val="20"/>
        </w:rPr>
      </w:pPr>
      <w:r w:rsidRPr="00B64179">
        <w:rPr>
          <w:sz w:val="20"/>
          <w:szCs w:val="20"/>
        </w:rPr>
        <w:t>Language use can help make or break one's identity in a certain community - the results from this study may help us understand how people interact online, and why people are excluded from online communities, even if it is not possible to judge them based on factors like their age or gender.</w:t>
      </w:r>
    </w:p>
    <w:p w:rsidR="00D0120A" w:rsidRDefault="00D0120A" w:rsidP="00D0120A"/>
    <w:p w:rsidR="00D0120A" w:rsidRPr="00D0120A" w:rsidRDefault="00D0120A" w:rsidP="00D0120A">
      <w:pPr>
        <w:rPr>
          <w:i/>
        </w:rPr>
      </w:pPr>
      <w:r w:rsidRPr="00D0120A">
        <w:rPr>
          <w:b/>
        </w:rPr>
        <w:t>Breanna-Rose Dowling</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D0120A">
        <w:rPr>
          <w:i/>
        </w:rPr>
        <w:t>The Religion of Witchcraft?: How Occult becomes Legitimate</w:t>
      </w:r>
    </w:p>
    <w:p w:rsidR="00D0120A" w:rsidRPr="00B64179" w:rsidRDefault="00D0120A" w:rsidP="00D0120A">
      <w:pPr>
        <w:rPr>
          <w:sz w:val="20"/>
          <w:szCs w:val="20"/>
        </w:rPr>
      </w:pPr>
      <w:r w:rsidRPr="00B64179">
        <w:rPr>
          <w:sz w:val="20"/>
          <w:szCs w:val="20"/>
        </w:rPr>
        <w:lastRenderedPageBreak/>
        <w:t>Originally a historical phenomenon, the concept of witchcraft has resurfaced within recent years. However, it is dissimilar to its past model. This prompts the question of how the belief has evolved and how it connects with or is distinguished from the concept of religion. This paper aims to explore how the concept of European witchcraft has continued into New Age Religion and its spiritual associates. This examination, in turn, intends to define the transitional process from a dismissed occult to a ‘legitimate’ religion. I will use anthropological methodology as this paper focuses on the experiences of young Western women. Past scholarly works will be analysed and compared with discoveries achieved through a minor form of observatory field research. In doing so, this paper demonstrates how a thread of similarity and adoption appears as through selective although forced adaptation, the witchcraft conception survived. This consequently reveals that the idea of theological ‘legitimacy’ is a dependent construct determined by politics, power-play and commercialization instigated by a Christian-dominated society. These discoveries reveal the implication that belief systems are often affected by Christian doctrines as they are an authority within Western society. As such, the discovery of this paper highlights an authority that must be examined in order to established theological equality. Additionally, the paper also fill a gap in research on both European witchcraft and the technical foundations of religion.</w:t>
      </w:r>
    </w:p>
    <w:p w:rsidR="00D0120A" w:rsidRDefault="00D0120A" w:rsidP="00D0120A"/>
    <w:p w:rsidR="00D0120A" w:rsidRPr="00D0120A" w:rsidRDefault="00D0120A" w:rsidP="00D0120A">
      <w:pPr>
        <w:rPr>
          <w:i/>
        </w:rPr>
      </w:pPr>
      <w:r>
        <w:rPr>
          <w:b/>
        </w:rPr>
        <w:t xml:space="preserve">Alba Halili </w:t>
      </w:r>
      <w:r w:rsidRPr="00992B72">
        <w:t>(</w:t>
      </w:r>
      <w:r w:rsidRPr="00992B72">
        <w:rPr>
          <w:noProof/>
        </w:rPr>
        <w:t>Monash University</w:t>
      </w:r>
      <w:r w:rsidRPr="00992B72">
        <w:t xml:space="preserve">, </w:t>
      </w:r>
      <w:r w:rsidRPr="00992B72">
        <w:rPr>
          <w:noProof/>
        </w:rPr>
        <w:t>Australia</w:t>
      </w:r>
      <w:r w:rsidRPr="00992B72">
        <w:t>)</w:t>
      </w:r>
      <w:r w:rsidR="00B64179">
        <w:rPr>
          <w:i/>
        </w:rPr>
        <w:br/>
      </w:r>
      <w:r w:rsidRPr="00D0120A">
        <w:rPr>
          <w:i/>
        </w:rPr>
        <w:t>The Role of Financial Institutions in Promoting Corporate Social Responsibility: A Literature Review</w:t>
      </w:r>
    </w:p>
    <w:p w:rsidR="00D0120A" w:rsidRPr="00B64179" w:rsidRDefault="00D0120A" w:rsidP="00D0120A">
      <w:pPr>
        <w:rPr>
          <w:sz w:val="20"/>
          <w:szCs w:val="20"/>
        </w:rPr>
      </w:pPr>
      <w:r w:rsidRPr="00B64179">
        <w:rPr>
          <w:sz w:val="20"/>
          <w:szCs w:val="20"/>
        </w:rPr>
        <w:t xml:space="preserve">Social awareness in the modern era has elevated concern for Corporate Social Responsibility (CSR). As a result, this concept has become one of the most discussed topics in business, social and environmental literature. This study will investigate the role that financial institutions have taken in promoting CSR. The analysis primarily focuses on the activities that financial institutions undertake in influencing and promoting social responsibility. The study emphasises this specifically through exploring their lending and investment decisions and their internal ethical financial policies. A search of three electronic databases were conducted for studies published from the years 2010 to 2017. The following words were used as a foundation for the research: corporate social responsibility, financial institutions, lending, investment, ethics and internal management. To complement these studies, further investigation was conducted based on the official websites of financial institutions, with a primary focus on sustainability reports. This study examines the literature of the influence that financial institutions have on CSR, the specific activities that show the involvement of financial institutions in promoting CSR, as well as future implications and suggestions. This area of study is extremely important for society at large, especially the stakeholders of financial institutions. This study aims to provide insight on the position that powerful entities, such as financial institutions attain in CSR. Ultimately, their position may have a community-wide impact. </w:t>
      </w:r>
    </w:p>
    <w:p w:rsidR="00D0120A" w:rsidRPr="00D0120A" w:rsidRDefault="00D0120A" w:rsidP="00D0120A">
      <w:pPr>
        <w:rPr>
          <w:b/>
        </w:rPr>
      </w:pPr>
    </w:p>
    <w:p w:rsidR="00D0120A" w:rsidRPr="00B64179" w:rsidRDefault="00D0120A" w:rsidP="00D0120A">
      <w:r w:rsidRPr="00D0120A">
        <w:rPr>
          <w:b/>
        </w:rPr>
        <w:t>Shanita Jetha</w:t>
      </w:r>
      <w:r>
        <w:rPr>
          <w:b/>
        </w:rPr>
        <w:t xml:space="preserve"> </w:t>
      </w:r>
      <w:r w:rsidRPr="00992B72">
        <w:t>(</w:t>
      </w:r>
      <w:r w:rsidRPr="00992B72">
        <w:rPr>
          <w:noProof/>
        </w:rPr>
        <w:t>Monash University</w:t>
      </w:r>
      <w:r w:rsidRPr="00992B72">
        <w:t xml:space="preserve">, </w:t>
      </w:r>
      <w:r w:rsidRPr="00992B72">
        <w:rPr>
          <w:noProof/>
        </w:rPr>
        <w:t>Australia</w:t>
      </w:r>
      <w:r w:rsidRPr="00992B72">
        <w:t>)</w:t>
      </w:r>
      <w:r w:rsidR="00B64179">
        <w:br/>
      </w:r>
      <w:r w:rsidRPr="00D0120A">
        <w:rPr>
          <w:i/>
        </w:rPr>
        <w:t>Transitions to democracy from 1998 till 2015: Why Burundi has succeeded and Rwanda has failed.</w:t>
      </w:r>
    </w:p>
    <w:p w:rsidR="00D0120A" w:rsidRPr="00B64179" w:rsidRDefault="00D0120A" w:rsidP="00D0120A">
      <w:pPr>
        <w:rPr>
          <w:sz w:val="20"/>
          <w:szCs w:val="20"/>
        </w:rPr>
      </w:pPr>
      <w:r w:rsidRPr="00B64179">
        <w:rPr>
          <w:sz w:val="20"/>
          <w:szCs w:val="20"/>
        </w:rPr>
        <w:t xml:space="preserve">Despite a vast amount of research tackling transitions to democracy in the field of comparative politics, there is little available looking at this from the perspective of African countries. Through a comparative analysis, this research seeks to fill in the theoretical gap of why Rwanda has not redeemed the same level of democratisation as its neighbour, Burundi. The time period for this analysis is from 1998 till 2015, as this covers the scope of when democratisation took place in Burundi. It uses the ‘most similar systems’ approach, comparing two countries with a similar historical legacy, and therefore contributing to the study of democratisation in an innovative way. Focusing solely on the ‘most different systems’ approach, which most of the current research does, is problematic as it fails to explain why countries with an equality of opportunity do not achieve an equal outcome. Through the use of empirical data, the study finds that there is a correlation between the political elite e.g. a countries leader, and their ability to transition towards democracy through actively participating in good governance. Additionally, it found no correlation between economic development and democratisation. This research can then be used as a mechanism to extend the study of democratisation in African countries. Most specifically, it will be of particular interest to policy makers seeking </w:t>
      </w:r>
      <w:r w:rsidRPr="00B64179">
        <w:rPr>
          <w:sz w:val="20"/>
          <w:szCs w:val="20"/>
        </w:rPr>
        <w:lastRenderedPageBreak/>
        <w:t>to advance democracy in countries, or simply those having an interest in the field. It is public discourse on the findings presented here which will allow methods which are deemed to fail in democratisation to be disapproved off, whilst the successful methods to be encouraged.</w:t>
      </w:r>
    </w:p>
    <w:p w:rsidR="00D0120A" w:rsidRPr="00A44E54" w:rsidRDefault="00D0120A" w:rsidP="00D0120A"/>
    <w:p w:rsidR="004823ED" w:rsidRPr="00B64179" w:rsidRDefault="004823ED" w:rsidP="004823ED">
      <w:r w:rsidRPr="00B64179">
        <w:rPr>
          <w:b/>
          <w:noProof/>
        </w:rPr>
        <w:t>Moustafa</w:t>
      </w:r>
      <w:r w:rsidRPr="00B64179">
        <w:rPr>
          <w:b/>
        </w:rPr>
        <w:t xml:space="preserve"> </w:t>
      </w:r>
      <w:r w:rsidRPr="00B64179">
        <w:rPr>
          <w:b/>
          <w:noProof/>
        </w:rPr>
        <w:t>Abdelwahab</w:t>
      </w:r>
      <w:r w:rsidRPr="00B64179">
        <w:t xml:space="preserve"> (</w:t>
      </w:r>
      <w:r w:rsidRPr="00B64179">
        <w:rPr>
          <w:noProof/>
        </w:rPr>
        <w:t>Leeds University</w:t>
      </w:r>
      <w:r w:rsidRPr="00B64179">
        <w:t xml:space="preserve">, </w:t>
      </w:r>
      <w:r w:rsidRPr="00B64179">
        <w:rPr>
          <w:noProof/>
        </w:rPr>
        <w:t>UK</w:t>
      </w:r>
      <w:r w:rsidR="00B64179">
        <w:t>)</w:t>
      </w:r>
      <w:r w:rsidR="00B64179">
        <w:br/>
      </w:r>
      <w:r w:rsidRPr="00B64179">
        <w:rPr>
          <w:i/>
          <w:noProof/>
        </w:rPr>
        <w:t>Review of State of the Art in Fabrication of Connections found in Reticulated Structures Developed by Topology Optimisation and Additive Manufacturing Processes</w:t>
      </w:r>
    </w:p>
    <w:p w:rsidR="004823ED" w:rsidRPr="00B64179" w:rsidRDefault="004823ED" w:rsidP="004823ED">
      <w:pPr>
        <w:rPr>
          <w:noProof/>
          <w:sz w:val="20"/>
          <w:szCs w:val="20"/>
        </w:rPr>
      </w:pPr>
      <w:r w:rsidRPr="00B64179">
        <w:rPr>
          <w:noProof/>
          <w:sz w:val="20"/>
          <w:szCs w:val="20"/>
        </w:rPr>
        <w:t>This study aims at providing an overview of the state of the art in spatial structures and their irregular node connections, and employing the topology optimisation (TO) technique and additive manufacturing (AM) process to address the design challenges for these complex structural components.</w:t>
      </w:r>
    </w:p>
    <w:p w:rsidR="004823ED" w:rsidRPr="00B64179" w:rsidRDefault="004823ED" w:rsidP="004823ED">
      <w:pPr>
        <w:rPr>
          <w:noProof/>
          <w:sz w:val="20"/>
          <w:szCs w:val="20"/>
        </w:rPr>
      </w:pPr>
      <w:r w:rsidRPr="00B64179">
        <w:rPr>
          <w:noProof/>
          <w:sz w:val="20"/>
          <w:szCs w:val="20"/>
        </w:rPr>
        <w:t>TO opened a new gate into highly complex and efficient (weight-to-stiffness ratio) designs that were difficult to achieve using traditional manufacturing technologies (e.g., machining and casting). AM (Also known as 3D printing) overcomes many of the manufacturing limitations through a layer-based fabrication process. The current AM product market value is worth $6 billion and is projected to reach $10.8 billion by the year 2021 (Wohlers Report, 2016). This fast growing market has influenced the construction industry at a pace slower than other sectors. Therefore, it was considered necessary to study the relevant areas, review several case studies – including Arup’s recent attempt to integrate TO and AM in a tensegrity structure (Galjaard</w:t>
      </w:r>
      <w:r w:rsidRPr="00B64179">
        <w:rPr>
          <w:i/>
          <w:noProof/>
          <w:sz w:val="20"/>
          <w:szCs w:val="20"/>
        </w:rPr>
        <w:t xml:space="preserve"> et al.</w:t>
      </w:r>
      <w:r w:rsidRPr="00B64179">
        <w:rPr>
          <w:noProof/>
          <w:sz w:val="20"/>
          <w:szCs w:val="20"/>
        </w:rPr>
        <w:t>, 2015) – and identify the key benefits and limitations of the technologies to help companies strategically invest their efforts in introducing 3D printed structural products to the construction sector and balance cost, time and efficiency.</w:t>
      </w:r>
    </w:p>
    <w:p w:rsidR="004823ED" w:rsidRPr="00B64179" w:rsidRDefault="004823ED" w:rsidP="004823ED">
      <w:pPr>
        <w:rPr>
          <w:noProof/>
          <w:sz w:val="20"/>
          <w:szCs w:val="20"/>
        </w:rPr>
      </w:pPr>
      <w:r w:rsidRPr="00B64179">
        <w:rPr>
          <w:noProof/>
          <w:sz w:val="20"/>
          <w:szCs w:val="20"/>
        </w:rPr>
        <w:t>AM and TO are effective and profitable in small size and unique components, which would be difficult and expensive to fabricate using classic methods. Within the infrastructure industry, the connections of spatial structures represent an ideal component to apply AM and TO techniques, due to their complex shape (arrangement of members) and their ideal (small) size meeting the standards of the current 3D printing machines. This review study focuses on highlighting the benefits of applying TO and AM in the fabrication of such type of connections and provides design and fabrication recommendations to help address some of the identified limitations. Finally, proposals regarding the future potential applications of these technologies based on ongoing research in other fields (i.e. prosthetics and aerospace) have been reported.</w:t>
      </w:r>
    </w:p>
    <w:p w:rsidR="004823ED" w:rsidRPr="00B64179" w:rsidRDefault="004823ED" w:rsidP="004823ED">
      <w:pPr>
        <w:rPr>
          <w:sz w:val="20"/>
          <w:szCs w:val="20"/>
        </w:rPr>
      </w:pPr>
      <w:r w:rsidRPr="00B64179">
        <w:rPr>
          <w:noProof/>
          <w:sz w:val="20"/>
          <w:szCs w:val="20"/>
        </w:rPr>
        <w:t>Keywords: Topology Optimisation, additive manufacturing, structural connections, spatial structures, reticulated space structures, reticulated shells, lattice structures, 3D printing, future applications, key factors, production technology</w:t>
      </w:r>
    </w:p>
    <w:p w:rsidR="004823ED" w:rsidRDefault="004823ED" w:rsidP="00CD696E"/>
    <w:p w:rsidR="004823ED" w:rsidRPr="00992B72" w:rsidRDefault="004823ED" w:rsidP="004823ED">
      <w:r w:rsidRPr="00992B72">
        <w:rPr>
          <w:b/>
          <w:noProof/>
        </w:rPr>
        <w:t>Mohamed</w:t>
      </w:r>
      <w:r w:rsidRPr="00992B72">
        <w:rPr>
          <w:b/>
        </w:rPr>
        <w:t xml:space="preserve"> </w:t>
      </w:r>
      <w:r w:rsidRPr="00992B72">
        <w:rPr>
          <w:b/>
          <w:noProof/>
        </w:rPr>
        <w:t>Alwahedi</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Postseismic Slip Following Intermediate-Magnitude Earthquakes</w:t>
      </w:r>
    </w:p>
    <w:p w:rsidR="004823ED" w:rsidRPr="00B64179" w:rsidRDefault="004823ED" w:rsidP="004823ED">
      <w:pPr>
        <w:rPr>
          <w:sz w:val="20"/>
          <w:szCs w:val="20"/>
        </w:rPr>
      </w:pPr>
      <w:r w:rsidRPr="00B64179">
        <w:rPr>
          <w:noProof/>
          <w:sz w:val="20"/>
          <w:szCs w:val="20"/>
        </w:rPr>
        <w:t xml:space="preserve">Do you think that intermediate-magnitude earthquakes (M4–6) have fewer effects than large earthquakes? Ground movement associated with earthquakes is divided into three stages: interseismic stage (prior to an earthquake), coseismic stage (during the earthquake), and postseismic stage (after the earthquake). Many studies have been done to examine postseismic deformation after large- and small-magnitude earthquakes. It has been found that large earthquakes have less postseismic deformation than small-magnitude earthquakes. Not much work has been done to study postseismic deformation for intermediate-magnitude earthquakes. Investigating this is vital for seismology, as studies on small-magnitude earthquakes are not very accurate due to difficulties in ground motion detection. In this project, 112 events were processed and 18 earthquakes were found that were good for interpretation. Ground motion could be detected using different methods, including highly sensitive devices buried at 200m under surface called borehole strainmeter. Postseismic deformations after intermediate-magnitude earthquakes observed in this study released 20–60% of the motion of the main shock with 70% confidence intervals. These ratios were obtained after examining borehole strainmeter data in </w:t>
      </w:r>
      <w:r w:rsidRPr="00B64179">
        <w:rPr>
          <w:noProof/>
          <w:sz w:val="20"/>
          <w:szCs w:val="20"/>
        </w:rPr>
        <w:lastRenderedPageBreak/>
        <w:t>the Western US in the period from 20 minutes to 1.5 days after the main shock. Data was corrected from tides, exponential decays, long-term trend and atmospheric pressure, and I then interpreted the postseismic deformation as being completely driven by afterslip and neglected other mechanisms as they have lower occurring possibilities. Results shows the ratios were higher than those described in the literature for large earthquakes (M &gt; 6) and lower than for small earthquakes (M &lt; 4). These variations in postseismic strain could arise from different factors: for instance, the earthquake geometry, the amount of stress drop, the postseismic slip mechanism and other physical properties. This study is important for a better understanding of earthquakes physics and the processes that accompany them, which helps us in improving Earth models. Also, if moderate earthquakes could produce large postseismic offsets, and these offsets are directly related to aftershocks, then these postseismic values would be vital for time-dependent seismic hazard assessment.</w:t>
      </w:r>
    </w:p>
    <w:p w:rsidR="004823ED" w:rsidRPr="00992B72" w:rsidRDefault="004823ED" w:rsidP="004823ED"/>
    <w:p w:rsidR="004823ED" w:rsidRPr="00992B72" w:rsidRDefault="004823ED" w:rsidP="004823ED">
      <w:r w:rsidRPr="00992B72">
        <w:rPr>
          <w:b/>
          <w:noProof/>
        </w:rPr>
        <w:t>Cleanthia</w:t>
      </w:r>
      <w:r w:rsidRPr="00992B72">
        <w:rPr>
          <w:b/>
        </w:rPr>
        <w:t xml:space="preserve"> </w:t>
      </w:r>
      <w:r w:rsidRPr="00992B72">
        <w:rPr>
          <w:b/>
          <w:noProof/>
        </w:rPr>
        <w:t>Aristodemou</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Visual Impact and Design Motif Hierarchies</w:t>
      </w:r>
    </w:p>
    <w:p w:rsidR="004823ED" w:rsidRPr="00B64179" w:rsidRDefault="004823ED" w:rsidP="004823ED">
      <w:pPr>
        <w:rPr>
          <w:noProof/>
          <w:sz w:val="20"/>
          <w:szCs w:val="20"/>
        </w:rPr>
      </w:pPr>
      <w:r w:rsidRPr="00B64179">
        <w:rPr>
          <w:noProof/>
          <w:sz w:val="20"/>
          <w:szCs w:val="20"/>
        </w:rPr>
        <w:t>The Problem</w:t>
      </w:r>
    </w:p>
    <w:p w:rsidR="004823ED" w:rsidRPr="00B64179" w:rsidRDefault="004823ED" w:rsidP="004823ED">
      <w:pPr>
        <w:rPr>
          <w:noProof/>
          <w:sz w:val="20"/>
          <w:szCs w:val="20"/>
        </w:rPr>
      </w:pPr>
      <w:r w:rsidRPr="00B64179">
        <w:rPr>
          <w:noProof/>
          <w:sz w:val="20"/>
          <w:szCs w:val="20"/>
        </w:rPr>
        <w:t>This research addresses the problem experienced by design students whose creative development and problem-solving abilities are curtailed by Computer Aided Design (CAD)¹. Everyday technology is commonly evaluated via measures such as speed, efficiency and ease of use while CAD software targets complex design challenges, familiar to the professional. The work underlines the problems of complicated repetitive motifs in textile design. Despite students’ digital aptitudes technology, their creativity is not developed enough to benefit from the learning opportunities of this medium.</w:t>
      </w:r>
    </w:p>
    <w:p w:rsidR="004823ED" w:rsidRPr="00B64179" w:rsidRDefault="004823ED" w:rsidP="004823ED">
      <w:pPr>
        <w:rPr>
          <w:noProof/>
          <w:sz w:val="20"/>
          <w:szCs w:val="20"/>
        </w:rPr>
      </w:pPr>
      <w:r w:rsidRPr="00B64179">
        <w:rPr>
          <w:noProof/>
          <w:sz w:val="20"/>
          <w:szCs w:val="20"/>
        </w:rPr>
        <w:t>The Methodologies</w:t>
      </w:r>
    </w:p>
    <w:p w:rsidR="004823ED" w:rsidRPr="00B64179" w:rsidRDefault="004823ED" w:rsidP="004823ED">
      <w:pPr>
        <w:rPr>
          <w:noProof/>
          <w:sz w:val="20"/>
          <w:szCs w:val="20"/>
        </w:rPr>
      </w:pPr>
      <w:r w:rsidRPr="00B64179">
        <w:rPr>
          <w:noProof/>
          <w:sz w:val="20"/>
          <w:szCs w:val="20"/>
        </w:rPr>
        <w:t>The first phase involves a comprehensive assessment of typical learning resources. Most texts offer inspirational, visual examples without honing critical understanding. Repeated pattern development is usually presented within a simplistic stylistic framework, limiting in-depth understanding and creativity. Despite rigorous research at the outset, a preoccupation with technical routines and time-consuming, directionless trial and error highlight students’ lack of clear vision.</w:t>
      </w:r>
    </w:p>
    <w:p w:rsidR="004823ED" w:rsidRPr="00B64179" w:rsidRDefault="004823ED" w:rsidP="004823ED">
      <w:pPr>
        <w:rPr>
          <w:noProof/>
          <w:sz w:val="20"/>
          <w:szCs w:val="20"/>
        </w:rPr>
      </w:pPr>
      <w:r w:rsidRPr="00B64179">
        <w:rPr>
          <w:noProof/>
          <w:sz w:val="20"/>
          <w:szCs w:val="20"/>
        </w:rPr>
        <w:t>Therefore, the second phase will adopt an original approach, analysing complex, repeated patterns, utilising eye-tracking technology to assess how observers are visually engaged in order to develop a more complex framework and establish a visual motif hierarchy demonstrating how tangible design elements can trigger a predictable visual engagement and how subjective design qualities can prolong this.</w:t>
      </w:r>
    </w:p>
    <w:p w:rsidR="004823ED" w:rsidRPr="00B64179" w:rsidRDefault="004823ED" w:rsidP="004823ED">
      <w:pPr>
        <w:rPr>
          <w:noProof/>
          <w:sz w:val="20"/>
          <w:szCs w:val="20"/>
        </w:rPr>
      </w:pPr>
      <w:r w:rsidRPr="00B64179">
        <w:rPr>
          <w:noProof/>
          <w:sz w:val="20"/>
          <w:szCs w:val="20"/>
        </w:rPr>
        <w:t>Future Implications</w:t>
      </w:r>
    </w:p>
    <w:p w:rsidR="004823ED" w:rsidRPr="00B64179" w:rsidRDefault="004823ED" w:rsidP="004823ED">
      <w:pPr>
        <w:rPr>
          <w:sz w:val="20"/>
          <w:szCs w:val="20"/>
        </w:rPr>
      </w:pPr>
      <w:r w:rsidRPr="00B64179">
        <w:rPr>
          <w:noProof/>
          <w:sz w:val="20"/>
          <w:szCs w:val="20"/>
        </w:rPr>
        <w:t>The initial eye-tracking experimental work will, hopefully, be conducted with the support of the John Lewis Partnership and the Stead McAlpine Archive, renowned for the variety of complex textile designs. This work aims to encourage novice textile designers to implement design strategies and creative concepts through using CAD technology.</w:t>
      </w:r>
    </w:p>
    <w:p w:rsidR="004823ED" w:rsidRDefault="004823ED" w:rsidP="00CD696E"/>
    <w:p w:rsidR="004823ED" w:rsidRPr="00B64179" w:rsidRDefault="004823ED" w:rsidP="004823ED">
      <w:r w:rsidRPr="00B64179">
        <w:rPr>
          <w:b/>
          <w:noProof/>
        </w:rPr>
        <w:t>Thomas</w:t>
      </w:r>
      <w:r w:rsidRPr="00B64179">
        <w:rPr>
          <w:b/>
        </w:rPr>
        <w:t xml:space="preserve"> </w:t>
      </w:r>
      <w:r w:rsidRPr="00B64179">
        <w:rPr>
          <w:b/>
          <w:noProof/>
        </w:rPr>
        <w:t>Batchelor</w:t>
      </w:r>
      <w:r w:rsidRPr="00B64179">
        <w:t xml:space="preserve"> (</w:t>
      </w:r>
      <w:r w:rsidRPr="00B64179">
        <w:rPr>
          <w:noProof/>
        </w:rPr>
        <w:t>Leeds University</w:t>
      </w:r>
      <w:r w:rsidRPr="00B64179">
        <w:t xml:space="preserve">, </w:t>
      </w:r>
      <w:r w:rsidRPr="00B64179">
        <w:rPr>
          <w:noProof/>
        </w:rPr>
        <w:t>UK</w:t>
      </w:r>
      <w:r w:rsidR="00B64179">
        <w:t>)</w:t>
      </w:r>
      <w:r w:rsidR="00B64179">
        <w:br/>
      </w:r>
      <w:r w:rsidRPr="00B64179">
        <w:rPr>
          <w:i/>
          <w:noProof/>
        </w:rPr>
        <w:t>Wearable Sensors Network for Real-Time Recognition of Human Activities</w:t>
      </w:r>
    </w:p>
    <w:p w:rsidR="004823ED" w:rsidRPr="00B64179" w:rsidRDefault="004823ED" w:rsidP="004823ED">
      <w:pPr>
        <w:rPr>
          <w:sz w:val="20"/>
          <w:szCs w:val="20"/>
        </w:rPr>
      </w:pPr>
      <w:r w:rsidRPr="00B64179">
        <w:rPr>
          <w:noProof/>
          <w:sz w:val="20"/>
          <w:szCs w:val="20"/>
        </w:rPr>
        <w:t xml:space="preserve">Recognition and prediction of movement intention are crucial processes for the development of intelligent wearable robots capable of safely assisting humans in their activities of daily living. These processes depend on the systematic data collection in real time from multiple sensors attached to the human body. For that reason, this work is focused on the development of a wearable sensors network for lower limbs that, together with high-level computational methods, will allow robotic systems to understand human movements and provide accurate and timely assistance. Systematic data collection is proposed by using multiple synchronised inertial measurement units (IMUs) attached to lower limbs. For data analysis, a Raspberry Pi (RasPi), together with </w:t>
      </w:r>
      <w:r w:rsidRPr="00B64179">
        <w:rPr>
          <w:noProof/>
          <w:sz w:val="20"/>
          <w:szCs w:val="20"/>
        </w:rPr>
        <w:lastRenderedPageBreak/>
        <w:t>Bayesian formulations and convolutional neural networks (CNN), are proposed for recognition of activities such as level-ground walking, ramp ascent and ramp descent. Currently, wireless communication between the RasPi and an IMU sensor has been configured. Furthermore, a CNN has been successfully implemented in the RasPi for recognition of three walking activities in offline mode, and using data previously collected from three IMUs, attached to the lower limbs of human participants. This process achieved a mean recognition accuracy of 95%. Research is still in progress and requires the following future work: synchronisation of multiple IMUs, implementation of Bayesian approaches and recognition of walking activities in real time. The results from this work will provide a robust high-level recognition system for control of wearable devices to assist humans in their later years or those who have a lower limb impairment.</w:t>
      </w:r>
    </w:p>
    <w:p w:rsidR="004823ED" w:rsidRDefault="004823ED" w:rsidP="00CD696E"/>
    <w:p w:rsidR="004823ED" w:rsidRPr="00992B72" w:rsidRDefault="004823ED" w:rsidP="004823ED">
      <w:r w:rsidRPr="00992B72">
        <w:rPr>
          <w:b/>
          <w:noProof/>
        </w:rPr>
        <w:t>Ahmed</w:t>
      </w:r>
      <w:r w:rsidRPr="00992B72">
        <w:rPr>
          <w:b/>
        </w:rPr>
        <w:t xml:space="preserve"> </w:t>
      </w:r>
      <w:r w:rsidRPr="00992B72">
        <w:rPr>
          <w:b/>
          <w:noProof/>
        </w:rPr>
        <w:t>Ben Ammar</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Development of a Multi-Axis 3D Scanner for Digitally Archiving Dentures and Minimising the Repercussion of their Losses.</w:t>
      </w:r>
    </w:p>
    <w:p w:rsidR="004823ED" w:rsidRPr="00B64179" w:rsidRDefault="004823ED" w:rsidP="004823ED">
      <w:pPr>
        <w:rPr>
          <w:sz w:val="20"/>
          <w:szCs w:val="20"/>
        </w:rPr>
      </w:pPr>
      <w:r w:rsidRPr="00B64179">
        <w:rPr>
          <w:noProof/>
          <w:sz w:val="20"/>
          <w:szCs w:val="20"/>
        </w:rPr>
        <w:t>Currently, 19% of the population in the UK wear either complete or partial removable dentures. Elderly denture wearers find it difficult to adapt to new dentures (being used to the exact shape of their old ones). Loss of dentures in care settings such as hospitals and nursing homes is a problem, and the subsequent replacement dentures take many weeks (or months) to construct. This impacts on quality of life (e.g. impeding diet and appearance) and the patient often struggles to re-adapt to the replacement set, which will differ from the previous one. A simple method for digitally archiving the shape of a patients existing dentures would enable rapid prototyping techniques to be used in the event of denture loss. To address this, an undergraduate project investigated using two robotic systems to 3D scan dentures. The research first investigated the usage of a robotic arm with 6 Degrees of Freedom to tackle the task. A system using three linear actuators was then designed and developed for the same task. The robot arm’s work space was found to be smaller than that of the linear actuator’s, requiring a more complex controller and with an overall higher cost. However, the linear actuator system was bulkier and heavier than the robot arm. The outcomes of this work will enable the storage of digital copies of the dentures, the reproduction of an exact duplicate, and fewer clinical stages. It could also potentially reduce the production time and manufacturing cost by enabling the usage of additive layer manufacturing.</w:t>
      </w:r>
    </w:p>
    <w:p w:rsidR="004823ED" w:rsidRDefault="004823ED" w:rsidP="00CD696E"/>
    <w:p w:rsidR="004823ED" w:rsidRPr="00992B72" w:rsidRDefault="004823ED" w:rsidP="004823ED">
      <w:r w:rsidRPr="00992B72">
        <w:rPr>
          <w:b/>
          <w:noProof/>
        </w:rPr>
        <w:t>Abigail</w:t>
      </w:r>
      <w:r w:rsidRPr="00992B72">
        <w:rPr>
          <w:b/>
        </w:rPr>
        <w:t xml:space="preserve"> </w:t>
      </w:r>
      <w:r w:rsidRPr="00992B72">
        <w:rPr>
          <w:b/>
          <w:noProof/>
        </w:rPr>
        <w:t>Byford</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Evidence for a Hyper-responsive Medial Olivocochlear Efferent System in Noise-Exposed Humans with Normal Hearing</w:t>
      </w:r>
    </w:p>
    <w:p w:rsidR="004823ED" w:rsidRPr="00B64179" w:rsidRDefault="004823ED" w:rsidP="004823ED">
      <w:pPr>
        <w:rPr>
          <w:sz w:val="20"/>
          <w:szCs w:val="20"/>
        </w:rPr>
      </w:pPr>
      <w:r w:rsidRPr="00B64179">
        <w:rPr>
          <w:noProof/>
          <w:sz w:val="20"/>
          <w:szCs w:val="20"/>
        </w:rPr>
        <w:t>The medial olivocochlear (MOC) efferent system runs from the auditory brainstem to the outer hair cells of the cochlea, which functions to alter the cochlear responses. The aim of this study was to investigate the role of this MOC reflex system in subjects with normal hearing sensitivity but with various ranges of noise exposure backgrounds (NEB). Stamper</w:t>
      </w:r>
      <w:r w:rsidRPr="00B64179">
        <w:rPr>
          <w:i/>
          <w:noProof/>
          <w:sz w:val="20"/>
          <w:szCs w:val="20"/>
        </w:rPr>
        <w:t xml:space="preserve"> et al.</w:t>
      </w:r>
      <w:r w:rsidRPr="00B64179">
        <w:rPr>
          <w:noProof/>
          <w:sz w:val="20"/>
          <w:szCs w:val="20"/>
        </w:rPr>
        <w:t xml:space="preserve"> (2015) showed that high NEB resulted in decreased auditory brainstem response (ABR) wave I amplitude. This wave I ABR response represents the electrical activity elicited by the auditory branch of cranial nerve VIII, suggesting a reduced afferent input. The hypothesis of this experiment was that subjects with high NEB would likely have reduced afferent neural input to the MOC system leading to a reduction in the strength of the MOC reflex. To measure MOC functioning, click-evoked otoacoustic emissions (CEOAEs) were recorded. CEOAEs are sounds produced by the outer hair cells within the cochlea, and are the main measurement tool to determine MOC functioning in humans. MOC reflex strength was therefore determined through ΔCEOAE – this is the CEOAE amplitude with contralateral acoustic stimulation subtracted from the CEOAE amplitude without the contralateral acoustic stimulation. The results showed that there was a positive correlation between NEB and ΔCEOAE using the Pearson’s Product moment correlation (r=0.565). This suggests that those with a high NEB had an increased ΔCEOAE and therefore an increased strength of the MOC reflex, contradictory to the hypothesis. Controls such as sound level tolerance, tinnitus and smoking were taken into account as these factors are thought to have implications on the MOC system </w:t>
      </w:r>
      <w:r w:rsidRPr="00B64179">
        <w:rPr>
          <w:noProof/>
          <w:sz w:val="20"/>
          <w:szCs w:val="20"/>
        </w:rPr>
        <w:lastRenderedPageBreak/>
        <w:t>and its hyperactivity. After control of these measures, NEB still showed an increase in MOC reflex strength. This data provides evidence that high NEB can result in hyperactivity of the MOC system. The implications of a hyperactive MOC system could possibly lead to noise-induced hearing loss, tinnitus or hyperacusis, as a hyperactive system is correlated with these disorders.</w:t>
      </w:r>
    </w:p>
    <w:p w:rsidR="004823ED" w:rsidRDefault="004823ED" w:rsidP="00CD696E"/>
    <w:p w:rsidR="004823ED" w:rsidRPr="00992B72" w:rsidRDefault="004823ED" w:rsidP="004823ED">
      <w:r w:rsidRPr="00992B72">
        <w:rPr>
          <w:b/>
          <w:noProof/>
        </w:rPr>
        <w:t>Bogomil</w:t>
      </w:r>
      <w:r w:rsidRPr="00992B72">
        <w:rPr>
          <w:b/>
        </w:rPr>
        <w:t xml:space="preserve"> </w:t>
      </w:r>
      <w:r w:rsidRPr="00992B72">
        <w:rPr>
          <w:b/>
          <w:noProof/>
        </w:rPr>
        <w:t>Georgiev</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Magmatic Timescales in Chilean Volcanos</w:t>
      </w:r>
    </w:p>
    <w:p w:rsidR="004823ED" w:rsidRPr="00B64179" w:rsidRDefault="004823ED" w:rsidP="004823ED">
      <w:pPr>
        <w:rPr>
          <w:noProof/>
          <w:sz w:val="20"/>
          <w:szCs w:val="20"/>
        </w:rPr>
      </w:pPr>
      <w:r w:rsidRPr="00B64179">
        <w:rPr>
          <w:noProof/>
          <w:sz w:val="20"/>
          <w:szCs w:val="20"/>
        </w:rPr>
        <w:t>I am studying the initial source magma from the mantle in three Chilean volcanos: Osorno, Calbuco and La Viguería. These volcanos are part of the Southern Volcanic Zone, which is located over the South American subduction zone. As the ocean plate goes underneath the crust, it heats up and gives off water, which decreases the melting point of the mantle thus creating dehydration melting. The area is also affected by the Liquiñe-Ofqui Fault Zone, which is believed to have a large influence on the magma ascent, particularly in the small eruptive centres like La Viguería. Previous work in the area found that the source of magma is variable. Some neighbouring volcanos have different magma source, while other, distant ones have the same. I hypothesised that La Viguería volcano shares the same magma source with either Osorno or Calbuco.</w:t>
      </w:r>
    </w:p>
    <w:p w:rsidR="004823ED" w:rsidRPr="00B64179" w:rsidRDefault="004823ED" w:rsidP="004823ED">
      <w:pPr>
        <w:rPr>
          <w:sz w:val="20"/>
          <w:szCs w:val="20"/>
        </w:rPr>
      </w:pPr>
      <w:r w:rsidRPr="00B64179">
        <w:rPr>
          <w:noProof/>
          <w:sz w:val="20"/>
          <w:szCs w:val="20"/>
        </w:rPr>
        <w:t>It is important to know the composition of the original source of magma in order to model the magma ascent. The purpose of this research project is to reconstruct the initial conditions in the mantle by using trace rare earth elements concentration and the isotope ratio of Strontium Neodymium and lead. Rare earth elements are particularly useful for calculating the degree of partial melting and fractional crystallisation. The Strontium Neodymium and lead isotope ratios can be used to estimate the amount of magma mixing with subducted ocean sediments. The finding of the study will be used for modelling the magmatic time scales of this volcanos and contribute to the understanding of the processes happening in the mantle.</w:t>
      </w:r>
    </w:p>
    <w:p w:rsidR="004823ED" w:rsidRDefault="004823ED" w:rsidP="00CD696E"/>
    <w:p w:rsidR="004823ED" w:rsidRPr="00992B72" w:rsidRDefault="004823ED" w:rsidP="004823ED">
      <w:r w:rsidRPr="00992B72">
        <w:rPr>
          <w:b/>
          <w:noProof/>
        </w:rPr>
        <w:t>Medhavi</w:t>
      </w:r>
      <w:r w:rsidRPr="00992B72">
        <w:rPr>
          <w:b/>
        </w:rPr>
        <w:t xml:space="preserve"> </w:t>
      </w:r>
      <w:r w:rsidRPr="00992B72">
        <w:rPr>
          <w:b/>
          <w:noProof/>
        </w:rPr>
        <w:t>Golash</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Does Corruption Have an Impact on Economic Growth? An empirical analysis of the relationship between corruption and economic growth across 97 countries during 2000–2014</w:t>
      </w:r>
    </w:p>
    <w:p w:rsidR="004823ED" w:rsidRPr="00B64179" w:rsidRDefault="004823ED" w:rsidP="004823ED">
      <w:pPr>
        <w:rPr>
          <w:sz w:val="20"/>
          <w:szCs w:val="20"/>
        </w:rPr>
      </w:pPr>
      <w:r w:rsidRPr="00B64179">
        <w:rPr>
          <w:noProof/>
          <w:sz w:val="20"/>
          <w:szCs w:val="20"/>
        </w:rPr>
        <w:t>Recent co-existing high levels of corruption alongside economic growth in East Asian economies, denoted as the ‘East Asian Paradox’, has questioned the global consensus that corruption negatively affects economic growth. Is there scope for a positive effect to be experienced, as the case of East Asia seems to demonstrate? Within the existing literature, various academics argue that corruption either ‘sands’ or ‘greases’ the wheels of the economy, and that region specific situations may also alter the way in which corruption affects growth. An empirical investigation using a dynamic, fixed-effects panel data model is carried out, using a sample size of 97 countries, grouped into 6 geographic categories across 2000–2014. The results from this study reject the ‘grease the wheels’ hypothesis, since a negative effect of corruption is observed in GDP growth and GDP per capita growth from all significant results. This empirical research can be extended by predicting the economic growth in these geographic regions without the presence of any corruption, to give a more accurate picture of what the true impact of corruption is to an economy.</w:t>
      </w:r>
    </w:p>
    <w:p w:rsidR="004823ED" w:rsidRPr="00992B72" w:rsidRDefault="004823ED" w:rsidP="004823ED"/>
    <w:p w:rsidR="004823ED" w:rsidRPr="00992B72" w:rsidRDefault="004823ED" w:rsidP="004823ED">
      <w:r w:rsidRPr="00992B72">
        <w:rPr>
          <w:b/>
          <w:noProof/>
        </w:rPr>
        <w:t>Iswarya</w:t>
      </w:r>
      <w:r w:rsidRPr="00992B72">
        <w:rPr>
          <w:b/>
        </w:rPr>
        <w:t xml:space="preserve"> </w:t>
      </w:r>
      <w:r w:rsidRPr="00992B72">
        <w:rPr>
          <w:b/>
          <w:noProof/>
        </w:rPr>
        <w:t>Kalyan</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A Qualitative and Quantitative Survey Exploring the Views of Undergraduate Dental Students About Allocated Study Leave Prior to Examinations and Their Opinions on Missing Clinical and Academic Experience as a Consequence</w:t>
      </w:r>
    </w:p>
    <w:p w:rsidR="004823ED" w:rsidRPr="00B64179" w:rsidRDefault="004823ED" w:rsidP="004823ED">
      <w:pPr>
        <w:rPr>
          <w:noProof/>
          <w:sz w:val="20"/>
          <w:szCs w:val="20"/>
        </w:rPr>
      </w:pPr>
      <w:r w:rsidRPr="00B64179">
        <w:rPr>
          <w:noProof/>
          <w:sz w:val="20"/>
          <w:szCs w:val="20"/>
        </w:rPr>
        <w:t xml:space="preserve">Dental students experience increasing levels of stress throughout their course. Clinical and academic factors are some of the main stressors, which have multiple academic, clinical, physical and psychological </w:t>
      </w:r>
      <w:r w:rsidRPr="00B64179">
        <w:rPr>
          <w:noProof/>
          <w:sz w:val="20"/>
          <w:szCs w:val="20"/>
        </w:rPr>
        <w:lastRenderedPageBreak/>
        <w:t>consequences. The aim of this survey was to explore whether students want study leave prior to examinations and how to balance this with academic and clinical teaching.</w:t>
      </w:r>
    </w:p>
    <w:p w:rsidR="004823ED" w:rsidRPr="00B64179" w:rsidRDefault="004823ED" w:rsidP="004823ED">
      <w:pPr>
        <w:rPr>
          <w:noProof/>
          <w:sz w:val="20"/>
          <w:szCs w:val="20"/>
        </w:rPr>
      </w:pPr>
      <w:r w:rsidRPr="00B64179">
        <w:rPr>
          <w:noProof/>
          <w:sz w:val="20"/>
          <w:szCs w:val="20"/>
        </w:rPr>
        <w:t>After discussing a draft questionnaire with a focus group of 25 students, the finalised questionnaire was sent to all 436 dental students at the University of Leeds; 221 students responded to the survey. The majority of respondents want study leave prior to both examinations, 79.2% for written and 53.4% for OSCE; however, the number of days varies between year groups. A change to the current course structure is preferred by 68.7% of participants. Most students agreed to have a reduced but capped number of each type of session to accommodate study leave.</w:t>
      </w:r>
    </w:p>
    <w:p w:rsidR="004823ED" w:rsidRPr="00B64179" w:rsidRDefault="004823ED" w:rsidP="004823ED">
      <w:pPr>
        <w:rPr>
          <w:sz w:val="20"/>
          <w:szCs w:val="20"/>
        </w:rPr>
      </w:pPr>
      <w:r w:rsidRPr="00B64179">
        <w:rPr>
          <w:noProof/>
          <w:sz w:val="20"/>
          <w:szCs w:val="20"/>
        </w:rPr>
        <w:t>Older years value their clinics more and would prefer a fewer number of revision days so as not to miss patient sessions. Due to lack of experience with outreach and OSCE, younger years’ opinions are less informative and contrary to older years. Assisting is the most preferred session that participants want cancelled, however the benefits of peer–peer learning needs to be considered. Further research is required to consider how best to accommodate study leave without having a detrimental effect on clinical and academic teaching. Results show that a change in the course structure is required in order to accommodate study leave.</w:t>
      </w:r>
    </w:p>
    <w:p w:rsidR="004823ED" w:rsidRDefault="004823ED" w:rsidP="00CD696E"/>
    <w:p w:rsidR="004823ED" w:rsidRPr="00992B72" w:rsidRDefault="004823ED" w:rsidP="004823ED">
      <w:r w:rsidRPr="00992B72">
        <w:rPr>
          <w:b/>
          <w:noProof/>
        </w:rPr>
        <w:t>Eleanor</w:t>
      </w:r>
      <w:r w:rsidRPr="00992B72">
        <w:rPr>
          <w:b/>
        </w:rPr>
        <w:t xml:space="preserve"> </w:t>
      </w:r>
      <w:r w:rsidRPr="00992B72">
        <w:rPr>
          <w:b/>
          <w:noProof/>
        </w:rPr>
        <w:t>Stewart</w:t>
      </w:r>
      <w:r w:rsidRPr="00992B72">
        <w:t xml:space="preserve"> (</w:t>
      </w:r>
      <w:r w:rsidRPr="00992B72">
        <w:rPr>
          <w:noProof/>
        </w:rPr>
        <w:t>Leeds University</w:t>
      </w:r>
      <w:r w:rsidRPr="00992B72">
        <w:t xml:space="preserve">, </w:t>
      </w:r>
      <w:r w:rsidRPr="00992B72">
        <w:rPr>
          <w:noProof/>
        </w:rPr>
        <w:t>UK</w:t>
      </w:r>
      <w:r w:rsidR="00B64179">
        <w:t>)</w:t>
      </w:r>
      <w:r w:rsidR="00B64179">
        <w:br/>
      </w:r>
      <w:r w:rsidRPr="00992B72">
        <w:rPr>
          <w:i/>
          <w:noProof/>
        </w:rPr>
        <w:t>The Use of Surrogates to Represent Rare Species in Marine Conservation Planning</w:t>
      </w:r>
    </w:p>
    <w:p w:rsidR="004823ED" w:rsidRPr="00B64179" w:rsidRDefault="004823ED" w:rsidP="004823ED">
      <w:pPr>
        <w:rPr>
          <w:sz w:val="20"/>
          <w:szCs w:val="20"/>
        </w:rPr>
      </w:pPr>
      <w:r w:rsidRPr="00B64179">
        <w:rPr>
          <w:noProof/>
          <w:sz w:val="20"/>
          <w:szCs w:val="20"/>
        </w:rPr>
        <w:t>In marine conservation planning, due to the difficulty of collecting complete datasets and the focus on species diversity, rare species are often underrepresented in MPAs. Surrogates can be used to ensure adequate representation of data poor species. There are many current studies assessing the use of surrogates for representing species diversity, but there are few investigating their use in representing rare species. In this study, conservation planning software Marxan was used to evaluate the performance of surrogates in representing rare species. Modelled distributions of gobies in UK coastal waters were used as an illustrative case study. The incidental representation of Fries’ goby in hypothetical MPAs was measured using two different surrogates: one abiotic: habitat type, and one biotic: the widely distributed species painted goby. Results indicated that both surrogates sufficiently represented the rare Fries’ goby. The biological surrogate was more efficient than the habitat surrogate with the suggested MPAs incidentally representing Fries’ goby by 25% and 13% respectively. Additionally, there was a positive correlation (rho=0.870, p=.000) between the target level of the surrogate and the incidental representation of the gobies, highlighting the importance of considering how other factors may affect representation when using a surrogate approach to reserve design, which could be investigated further in future study. These results support the notion that surrogates can be used effectively in marine conservation planning of rare species.</w:t>
      </w:r>
    </w:p>
    <w:p w:rsidR="004823ED" w:rsidRPr="00CD696E" w:rsidRDefault="004823ED" w:rsidP="00CD696E"/>
    <w:sectPr w:rsidR="004823ED" w:rsidRPr="00CD696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844" w:rsidRDefault="00BA0844" w:rsidP="00401794">
      <w:pPr>
        <w:spacing w:after="0" w:line="240" w:lineRule="auto"/>
      </w:pPr>
      <w:r>
        <w:separator/>
      </w:r>
    </w:p>
  </w:endnote>
  <w:endnote w:type="continuationSeparator" w:id="0">
    <w:p w:rsidR="00BA0844" w:rsidRDefault="00BA0844" w:rsidP="0040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8851"/>
      <w:docPartObj>
        <w:docPartGallery w:val="Page Numbers (Bottom of Page)"/>
        <w:docPartUnique/>
      </w:docPartObj>
    </w:sdtPr>
    <w:sdtEndPr>
      <w:rPr>
        <w:noProof/>
      </w:rPr>
    </w:sdtEndPr>
    <w:sdtContent>
      <w:p w:rsidR="00BA0844" w:rsidRDefault="00BA0844">
        <w:pPr>
          <w:pStyle w:val="Footer"/>
          <w:jc w:val="center"/>
        </w:pPr>
        <w:r>
          <w:fldChar w:fldCharType="begin"/>
        </w:r>
        <w:r>
          <w:instrText xml:space="preserve"> PAGE   \* MERGEFORMAT </w:instrText>
        </w:r>
        <w:r>
          <w:fldChar w:fldCharType="separate"/>
        </w:r>
        <w:r w:rsidR="00645EB7">
          <w:rPr>
            <w:noProof/>
          </w:rPr>
          <w:t>93</w:t>
        </w:r>
        <w:r>
          <w:rPr>
            <w:noProof/>
          </w:rPr>
          <w:fldChar w:fldCharType="end"/>
        </w:r>
      </w:p>
    </w:sdtContent>
  </w:sdt>
  <w:p w:rsidR="00BA0844" w:rsidRDefault="00BA0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844" w:rsidRDefault="00BA0844" w:rsidP="00401794">
      <w:pPr>
        <w:spacing w:after="0" w:line="240" w:lineRule="auto"/>
      </w:pPr>
      <w:r>
        <w:separator/>
      </w:r>
    </w:p>
  </w:footnote>
  <w:footnote w:type="continuationSeparator" w:id="0">
    <w:p w:rsidR="00BA0844" w:rsidRDefault="00BA0844" w:rsidP="004017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4DF5"/>
    <w:multiLevelType w:val="hybridMultilevel"/>
    <w:tmpl w:val="D1A08EA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70AB7"/>
    <w:multiLevelType w:val="hybridMultilevel"/>
    <w:tmpl w:val="8A267EE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3F08F6"/>
    <w:multiLevelType w:val="hybridMultilevel"/>
    <w:tmpl w:val="EC58887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1F0A41"/>
    <w:multiLevelType w:val="hybridMultilevel"/>
    <w:tmpl w:val="BF7801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045B27"/>
    <w:multiLevelType w:val="hybridMultilevel"/>
    <w:tmpl w:val="576C1F1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2E208F"/>
    <w:multiLevelType w:val="hybridMultilevel"/>
    <w:tmpl w:val="9CF285C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84155B"/>
    <w:multiLevelType w:val="hybridMultilevel"/>
    <w:tmpl w:val="055ABA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6D1908"/>
    <w:multiLevelType w:val="hybridMultilevel"/>
    <w:tmpl w:val="753E5466"/>
    <w:lvl w:ilvl="0" w:tplc="381AC05E">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2769AF"/>
    <w:multiLevelType w:val="hybridMultilevel"/>
    <w:tmpl w:val="49BC11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7552B6"/>
    <w:multiLevelType w:val="hybridMultilevel"/>
    <w:tmpl w:val="C0C8532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7944AC"/>
    <w:multiLevelType w:val="hybridMultilevel"/>
    <w:tmpl w:val="71C4F1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7275AB8"/>
    <w:multiLevelType w:val="hybridMultilevel"/>
    <w:tmpl w:val="32EA8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394AF5"/>
    <w:multiLevelType w:val="hybridMultilevel"/>
    <w:tmpl w:val="CDBE74C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4F2163"/>
    <w:multiLevelType w:val="hybridMultilevel"/>
    <w:tmpl w:val="1986B33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4E53DC"/>
    <w:multiLevelType w:val="hybridMultilevel"/>
    <w:tmpl w:val="B0CCFFA2"/>
    <w:lvl w:ilvl="0" w:tplc="88D4992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A90D0D"/>
    <w:multiLevelType w:val="hybridMultilevel"/>
    <w:tmpl w:val="D8FE1DEA"/>
    <w:lvl w:ilvl="0" w:tplc="0964BAC4">
      <w:start w:val="1"/>
      <w:numFmt w:val="decimal"/>
      <w:lvlText w:val="%1)"/>
      <w:lvlJc w:val="left"/>
      <w:pPr>
        <w:ind w:left="720" w:hanging="360"/>
      </w:pPr>
      <w:rPr>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3B3AC3"/>
    <w:multiLevelType w:val="multilevel"/>
    <w:tmpl w:val="25A48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D65D8C"/>
    <w:multiLevelType w:val="hybridMultilevel"/>
    <w:tmpl w:val="0212EE9E"/>
    <w:lvl w:ilvl="0" w:tplc="A4D864AA">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3D00F02"/>
    <w:multiLevelType w:val="hybridMultilevel"/>
    <w:tmpl w:val="976EFF26"/>
    <w:lvl w:ilvl="0" w:tplc="089CBE18">
      <w:start w:val="1"/>
      <w:numFmt w:val="decimal"/>
      <w:lvlText w:val="%1)"/>
      <w:lvlJc w:val="left"/>
      <w:pPr>
        <w:ind w:left="720" w:hanging="360"/>
      </w:pPr>
      <w:rPr>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EC4BE9"/>
    <w:multiLevelType w:val="hybridMultilevel"/>
    <w:tmpl w:val="EAF66B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0C039C"/>
    <w:multiLevelType w:val="hybridMultilevel"/>
    <w:tmpl w:val="7316A99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6C04B12"/>
    <w:multiLevelType w:val="hybridMultilevel"/>
    <w:tmpl w:val="4F46BDA6"/>
    <w:lvl w:ilvl="0" w:tplc="2EFE41B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7F64666"/>
    <w:multiLevelType w:val="hybridMultilevel"/>
    <w:tmpl w:val="2028FA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DC082B"/>
    <w:multiLevelType w:val="hybridMultilevel"/>
    <w:tmpl w:val="546E5FF6"/>
    <w:lvl w:ilvl="0" w:tplc="AF00290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C4049EF"/>
    <w:multiLevelType w:val="hybridMultilevel"/>
    <w:tmpl w:val="A7D4EFA0"/>
    <w:lvl w:ilvl="0" w:tplc="4C9C71D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C986D33"/>
    <w:multiLevelType w:val="hybridMultilevel"/>
    <w:tmpl w:val="D1380C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D862E9C"/>
    <w:multiLevelType w:val="hybridMultilevel"/>
    <w:tmpl w:val="3BCEB718"/>
    <w:lvl w:ilvl="0" w:tplc="9690874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E06E5C"/>
    <w:multiLevelType w:val="hybridMultilevel"/>
    <w:tmpl w:val="1C46313A"/>
    <w:lvl w:ilvl="0" w:tplc="0C0A30AA">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FF7F09"/>
    <w:multiLevelType w:val="hybridMultilevel"/>
    <w:tmpl w:val="A53C79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20349DB"/>
    <w:multiLevelType w:val="hybridMultilevel"/>
    <w:tmpl w:val="22E86A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2745984"/>
    <w:multiLevelType w:val="hybridMultilevel"/>
    <w:tmpl w:val="F2C640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57047CF"/>
    <w:multiLevelType w:val="hybridMultilevel"/>
    <w:tmpl w:val="81E47C6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425A93"/>
    <w:multiLevelType w:val="hybridMultilevel"/>
    <w:tmpl w:val="17D814F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FD33CCC"/>
    <w:multiLevelType w:val="hybridMultilevel"/>
    <w:tmpl w:val="1CB248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3653775"/>
    <w:multiLevelType w:val="hybridMultilevel"/>
    <w:tmpl w:val="6ADE2D4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3F250D3"/>
    <w:multiLevelType w:val="hybridMultilevel"/>
    <w:tmpl w:val="77B60538"/>
    <w:lvl w:ilvl="0" w:tplc="96269AD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5F57E32"/>
    <w:multiLevelType w:val="hybridMultilevel"/>
    <w:tmpl w:val="04D017F4"/>
    <w:lvl w:ilvl="0" w:tplc="506A87F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8CA43D2"/>
    <w:multiLevelType w:val="hybridMultilevel"/>
    <w:tmpl w:val="2028FA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8CF79D3"/>
    <w:multiLevelType w:val="hybridMultilevel"/>
    <w:tmpl w:val="F2425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D5470D"/>
    <w:multiLevelType w:val="hybridMultilevel"/>
    <w:tmpl w:val="F4AE7BAC"/>
    <w:lvl w:ilvl="0" w:tplc="D7B86AF6">
      <w:start w:val="1"/>
      <w:numFmt w:val="decimal"/>
      <w:lvlText w:val="%1)"/>
      <w:lvlJc w:val="left"/>
      <w:pPr>
        <w:ind w:left="720" w:hanging="360"/>
      </w:pPr>
      <w:rPr>
        <w:rFonts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FE7117A"/>
    <w:multiLevelType w:val="hybridMultilevel"/>
    <w:tmpl w:val="546E5FF6"/>
    <w:lvl w:ilvl="0" w:tplc="AF00290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587512"/>
    <w:multiLevelType w:val="hybridMultilevel"/>
    <w:tmpl w:val="A02684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073054E"/>
    <w:multiLevelType w:val="hybridMultilevel"/>
    <w:tmpl w:val="619AE9F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2F2613F"/>
    <w:multiLevelType w:val="hybridMultilevel"/>
    <w:tmpl w:val="FDD68A7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4034848"/>
    <w:multiLevelType w:val="hybridMultilevel"/>
    <w:tmpl w:val="84CC109E"/>
    <w:lvl w:ilvl="0" w:tplc="F49A6A5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4A921E5"/>
    <w:multiLevelType w:val="hybridMultilevel"/>
    <w:tmpl w:val="E8D85E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4AE6B1C"/>
    <w:multiLevelType w:val="hybridMultilevel"/>
    <w:tmpl w:val="DBA6FBD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5EC0643"/>
    <w:multiLevelType w:val="hybridMultilevel"/>
    <w:tmpl w:val="D7AEE884"/>
    <w:lvl w:ilvl="0" w:tplc="C8C82D6A">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89F1C84"/>
    <w:multiLevelType w:val="hybridMultilevel"/>
    <w:tmpl w:val="1020DF96"/>
    <w:lvl w:ilvl="0" w:tplc="1FC2A96A">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92A6AA5"/>
    <w:multiLevelType w:val="hybridMultilevel"/>
    <w:tmpl w:val="FD5A02B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99D13EE"/>
    <w:multiLevelType w:val="hybridMultilevel"/>
    <w:tmpl w:val="542CA394"/>
    <w:lvl w:ilvl="0" w:tplc="F918C15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2262145"/>
    <w:multiLevelType w:val="hybridMultilevel"/>
    <w:tmpl w:val="FFF89BEA"/>
    <w:lvl w:ilvl="0" w:tplc="EF367ED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30A41D3"/>
    <w:multiLevelType w:val="hybridMultilevel"/>
    <w:tmpl w:val="D5E8D1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4BD7DBF"/>
    <w:multiLevelType w:val="hybridMultilevel"/>
    <w:tmpl w:val="EB6C376E"/>
    <w:lvl w:ilvl="0" w:tplc="DBE8E52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7806FFF"/>
    <w:multiLevelType w:val="hybridMultilevel"/>
    <w:tmpl w:val="C4C2D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ABF0024"/>
    <w:multiLevelType w:val="multilevel"/>
    <w:tmpl w:val="2294E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BC367DB"/>
    <w:multiLevelType w:val="multilevel"/>
    <w:tmpl w:val="0650A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CD44134"/>
    <w:multiLevelType w:val="hybridMultilevel"/>
    <w:tmpl w:val="F94EC44C"/>
    <w:lvl w:ilvl="0" w:tplc="AF00290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DF228FD"/>
    <w:multiLevelType w:val="hybridMultilevel"/>
    <w:tmpl w:val="86F4B8FE"/>
    <w:lvl w:ilvl="0" w:tplc="90D4B41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0606D52"/>
    <w:multiLevelType w:val="multilevel"/>
    <w:tmpl w:val="687E1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1922EC5"/>
    <w:multiLevelType w:val="hybridMultilevel"/>
    <w:tmpl w:val="E5B288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40A6C40"/>
    <w:multiLevelType w:val="hybridMultilevel"/>
    <w:tmpl w:val="28C8067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53B212A"/>
    <w:multiLevelType w:val="hybridMultilevel"/>
    <w:tmpl w:val="B7BC25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5436AFC"/>
    <w:multiLevelType w:val="hybridMultilevel"/>
    <w:tmpl w:val="D1380C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56F03FD"/>
    <w:multiLevelType w:val="hybridMultilevel"/>
    <w:tmpl w:val="02BC3FCE"/>
    <w:lvl w:ilvl="0" w:tplc="32B845C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58F4658"/>
    <w:multiLevelType w:val="hybridMultilevel"/>
    <w:tmpl w:val="E642F0D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84C474F"/>
    <w:multiLevelType w:val="hybridMultilevel"/>
    <w:tmpl w:val="D820C1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84D71CD"/>
    <w:multiLevelType w:val="hybridMultilevel"/>
    <w:tmpl w:val="0D920E62"/>
    <w:lvl w:ilvl="0" w:tplc="331E57BC">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A893425"/>
    <w:multiLevelType w:val="hybridMultilevel"/>
    <w:tmpl w:val="77C675A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C145F08"/>
    <w:multiLevelType w:val="hybridMultilevel"/>
    <w:tmpl w:val="21E0D7E4"/>
    <w:lvl w:ilvl="0" w:tplc="CC66145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DB31A21"/>
    <w:multiLevelType w:val="hybridMultilevel"/>
    <w:tmpl w:val="A02684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FF533A3"/>
    <w:multiLevelType w:val="hybridMultilevel"/>
    <w:tmpl w:val="5C4ADD16"/>
    <w:lvl w:ilvl="0" w:tplc="3E546B4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2"/>
  </w:num>
  <w:num w:numId="2">
    <w:abstractNumId w:val="32"/>
  </w:num>
  <w:num w:numId="3">
    <w:abstractNumId w:val="12"/>
  </w:num>
  <w:num w:numId="4">
    <w:abstractNumId w:val="30"/>
  </w:num>
  <w:num w:numId="5">
    <w:abstractNumId w:val="60"/>
  </w:num>
  <w:num w:numId="6">
    <w:abstractNumId w:val="16"/>
  </w:num>
  <w:num w:numId="7">
    <w:abstractNumId w:val="19"/>
  </w:num>
  <w:num w:numId="8">
    <w:abstractNumId w:val="3"/>
  </w:num>
  <w:num w:numId="9">
    <w:abstractNumId w:val="29"/>
  </w:num>
  <w:num w:numId="10">
    <w:abstractNumId w:val="59"/>
  </w:num>
  <w:num w:numId="11">
    <w:abstractNumId w:val="70"/>
  </w:num>
  <w:num w:numId="12">
    <w:abstractNumId w:val="41"/>
  </w:num>
  <w:num w:numId="13">
    <w:abstractNumId w:val="9"/>
  </w:num>
  <w:num w:numId="14">
    <w:abstractNumId w:val="55"/>
  </w:num>
  <w:num w:numId="15">
    <w:abstractNumId w:val="56"/>
  </w:num>
  <w:num w:numId="16">
    <w:abstractNumId w:val="10"/>
  </w:num>
  <w:num w:numId="17">
    <w:abstractNumId w:val="4"/>
  </w:num>
  <w:num w:numId="18">
    <w:abstractNumId w:val="8"/>
  </w:num>
  <w:num w:numId="19">
    <w:abstractNumId w:val="0"/>
  </w:num>
  <w:num w:numId="20">
    <w:abstractNumId w:val="53"/>
  </w:num>
  <w:num w:numId="21">
    <w:abstractNumId w:val="20"/>
  </w:num>
  <w:num w:numId="22">
    <w:abstractNumId w:val="34"/>
  </w:num>
  <w:num w:numId="23">
    <w:abstractNumId w:val="67"/>
  </w:num>
  <w:num w:numId="24">
    <w:abstractNumId w:val="21"/>
  </w:num>
  <w:num w:numId="25">
    <w:abstractNumId w:val="50"/>
  </w:num>
  <w:num w:numId="26">
    <w:abstractNumId w:val="69"/>
  </w:num>
  <w:num w:numId="27">
    <w:abstractNumId w:val="33"/>
  </w:num>
  <w:num w:numId="28">
    <w:abstractNumId w:val="35"/>
  </w:num>
  <w:num w:numId="29">
    <w:abstractNumId w:val="6"/>
  </w:num>
  <w:num w:numId="30">
    <w:abstractNumId w:val="48"/>
  </w:num>
  <w:num w:numId="31">
    <w:abstractNumId w:val="24"/>
  </w:num>
  <w:num w:numId="32">
    <w:abstractNumId w:val="44"/>
  </w:num>
  <w:num w:numId="33">
    <w:abstractNumId w:val="46"/>
  </w:num>
  <w:num w:numId="34">
    <w:abstractNumId w:val="2"/>
  </w:num>
  <w:num w:numId="35">
    <w:abstractNumId w:val="5"/>
  </w:num>
  <w:num w:numId="36">
    <w:abstractNumId w:val="47"/>
  </w:num>
  <w:num w:numId="37">
    <w:abstractNumId w:val="7"/>
  </w:num>
  <w:num w:numId="38">
    <w:abstractNumId w:val="15"/>
  </w:num>
  <w:num w:numId="39">
    <w:abstractNumId w:val="17"/>
  </w:num>
  <w:num w:numId="40">
    <w:abstractNumId w:val="36"/>
  </w:num>
  <w:num w:numId="41">
    <w:abstractNumId w:val="68"/>
  </w:num>
  <w:num w:numId="42">
    <w:abstractNumId w:val="65"/>
  </w:num>
  <w:num w:numId="43">
    <w:abstractNumId w:val="45"/>
  </w:num>
  <w:num w:numId="44">
    <w:abstractNumId w:val="18"/>
  </w:num>
  <w:num w:numId="45">
    <w:abstractNumId w:val="51"/>
  </w:num>
  <w:num w:numId="46">
    <w:abstractNumId w:val="27"/>
  </w:num>
  <w:num w:numId="47">
    <w:abstractNumId w:val="1"/>
  </w:num>
  <w:num w:numId="48">
    <w:abstractNumId w:val="64"/>
  </w:num>
  <w:num w:numId="49">
    <w:abstractNumId w:val="26"/>
  </w:num>
  <w:num w:numId="50">
    <w:abstractNumId w:val="71"/>
  </w:num>
  <w:num w:numId="51">
    <w:abstractNumId w:val="52"/>
  </w:num>
  <w:num w:numId="52">
    <w:abstractNumId w:val="61"/>
  </w:num>
  <w:num w:numId="53">
    <w:abstractNumId w:val="43"/>
  </w:num>
  <w:num w:numId="54">
    <w:abstractNumId w:val="22"/>
  </w:num>
  <w:num w:numId="55">
    <w:abstractNumId w:val="37"/>
  </w:num>
  <w:num w:numId="56">
    <w:abstractNumId w:val="49"/>
  </w:num>
  <w:num w:numId="57">
    <w:abstractNumId w:val="57"/>
  </w:num>
  <w:num w:numId="58">
    <w:abstractNumId w:val="40"/>
  </w:num>
  <w:num w:numId="59">
    <w:abstractNumId w:val="23"/>
  </w:num>
  <w:num w:numId="60">
    <w:abstractNumId w:val="66"/>
  </w:num>
  <w:num w:numId="61">
    <w:abstractNumId w:val="58"/>
  </w:num>
  <w:num w:numId="62">
    <w:abstractNumId w:val="62"/>
  </w:num>
  <w:num w:numId="63">
    <w:abstractNumId w:val="13"/>
  </w:num>
  <w:num w:numId="64">
    <w:abstractNumId w:val="25"/>
  </w:num>
  <w:num w:numId="65">
    <w:abstractNumId w:val="63"/>
  </w:num>
  <w:num w:numId="66">
    <w:abstractNumId w:val="14"/>
  </w:num>
  <w:num w:numId="67">
    <w:abstractNumId w:val="31"/>
  </w:num>
  <w:num w:numId="68">
    <w:abstractNumId w:val="28"/>
  </w:num>
  <w:num w:numId="69">
    <w:abstractNumId w:val="39"/>
  </w:num>
  <w:num w:numId="70">
    <w:abstractNumId w:val="38"/>
  </w:num>
  <w:num w:numId="71">
    <w:abstractNumId w:val="54"/>
  </w:num>
  <w:num w:numId="72">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C4"/>
    <w:rsid w:val="00014B5D"/>
    <w:rsid w:val="000177F4"/>
    <w:rsid w:val="000240C6"/>
    <w:rsid w:val="000649EB"/>
    <w:rsid w:val="0007031B"/>
    <w:rsid w:val="0007503B"/>
    <w:rsid w:val="00075D7A"/>
    <w:rsid w:val="00081E8B"/>
    <w:rsid w:val="00095250"/>
    <w:rsid w:val="000B55AF"/>
    <w:rsid w:val="000B62AA"/>
    <w:rsid w:val="000D52BE"/>
    <w:rsid w:val="000E3164"/>
    <w:rsid w:val="000F1623"/>
    <w:rsid w:val="001145DF"/>
    <w:rsid w:val="00122677"/>
    <w:rsid w:val="00134BC0"/>
    <w:rsid w:val="001360F7"/>
    <w:rsid w:val="0013779E"/>
    <w:rsid w:val="0014430F"/>
    <w:rsid w:val="0019738A"/>
    <w:rsid w:val="001A212D"/>
    <w:rsid w:val="001A3B5F"/>
    <w:rsid w:val="001B066D"/>
    <w:rsid w:val="001B0A9E"/>
    <w:rsid w:val="001C2FFF"/>
    <w:rsid w:val="00207156"/>
    <w:rsid w:val="002159F6"/>
    <w:rsid w:val="00222862"/>
    <w:rsid w:val="0025754B"/>
    <w:rsid w:val="0027233B"/>
    <w:rsid w:val="002759C1"/>
    <w:rsid w:val="002944E8"/>
    <w:rsid w:val="002A0464"/>
    <w:rsid w:val="002C1513"/>
    <w:rsid w:val="002F0813"/>
    <w:rsid w:val="00311ADE"/>
    <w:rsid w:val="003349BB"/>
    <w:rsid w:val="00351AE2"/>
    <w:rsid w:val="00372C26"/>
    <w:rsid w:val="00373D45"/>
    <w:rsid w:val="00373FA0"/>
    <w:rsid w:val="00392537"/>
    <w:rsid w:val="00397174"/>
    <w:rsid w:val="003B317C"/>
    <w:rsid w:val="003C5EB1"/>
    <w:rsid w:val="003E5931"/>
    <w:rsid w:val="003E7E15"/>
    <w:rsid w:val="003F4297"/>
    <w:rsid w:val="003F7CE9"/>
    <w:rsid w:val="00401794"/>
    <w:rsid w:val="00416FAA"/>
    <w:rsid w:val="00435958"/>
    <w:rsid w:val="00435BE6"/>
    <w:rsid w:val="0044138A"/>
    <w:rsid w:val="004653A5"/>
    <w:rsid w:val="004735DC"/>
    <w:rsid w:val="004823ED"/>
    <w:rsid w:val="004C12E5"/>
    <w:rsid w:val="004C5ECF"/>
    <w:rsid w:val="00502F22"/>
    <w:rsid w:val="0052486D"/>
    <w:rsid w:val="0054396C"/>
    <w:rsid w:val="00553957"/>
    <w:rsid w:val="00570602"/>
    <w:rsid w:val="0057222B"/>
    <w:rsid w:val="005C2B85"/>
    <w:rsid w:val="005C4296"/>
    <w:rsid w:val="005C5C0A"/>
    <w:rsid w:val="005D0BFC"/>
    <w:rsid w:val="005F3E3A"/>
    <w:rsid w:val="005F69A4"/>
    <w:rsid w:val="005F7D53"/>
    <w:rsid w:val="00610E51"/>
    <w:rsid w:val="00615697"/>
    <w:rsid w:val="00622541"/>
    <w:rsid w:val="00623A47"/>
    <w:rsid w:val="006349C6"/>
    <w:rsid w:val="00643B46"/>
    <w:rsid w:val="00645EB7"/>
    <w:rsid w:val="006503AA"/>
    <w:rsid w:val="00654919"/>
    <w:rsid w:val="00656333"/>
    <w:rsid w:val="006564AB"/>
    <w:rsid w:val="006827EC"/>
    <w:rsid w:val="006B739B"/>
    <w:rsid w:val="006F0F3D"/>
    <w:rsid w:val="00703F53"/>
    <w:rsid w:val="007269B3"/>
    <w:rsid w:val="00730510"/>
    <w:rsid w:val="0076050B"/>
    <w:rsid w:val="00776894"/>
    <w:rsid w:val="00824346"/>
    <w:rsid w:val="00843206"/>
    <w:rsid w:val="008478BE"/>
    <w:rsid w:val="00847E5A"/>
    <w:rsid w:val="008535E1"/>
    <w:rsid w:val="008628F1"/>
    <w:rsid w:val="00864587"/>
    <w:rsid w:val="00887D6D"/>
    <w:rsid w:val="008E7AE6"/>
    <w:rsid w:val="008F0D2E"/>
    <w:rsid w:val="008F589F"/>
    <w:rsid w:val="00900192"/>
    <w:rsid w:val="00900A7E"/>
    <w:rsid w:val="00956774"/>
    <w:rsid w:val="00960251"/>
    <w:rsid w:val="00974811"/>
    <w:rsid w:val="0098261D"/>
    <w:rsid w:val="00984E8F"/>
    <w:rsid w:val="009B5DAE"/>
    <w:rsid w:val="009F589A"/>
    <w:rsid w:val="009F7EFD"/>
    <w:rsid w:val="00A15551"/>
    <w:rsid w:val="00A30164"/>
    <w:rsid w:val="00A407B0"/>
    <w:rsid w:val="00A44E54"/>
    <w:rsid w:val="00AA4347"/>
    <w:rsid w:val="00AA5FE1"/>
    <w:rsid w:val="00AB3D24"/>
    <w:rsid w:val="00AD4702"/>
    <w:rsid w:val="00AD4B94"/>
    <w:rsid w:val="00AD6B97"/>
    <w:rsid w:val="00AE0E12"/>
    <w:rsid w:val="00AE3402"/>
    <w:rsid w:val="00AE47FF"/>
    <w:rsid w:val="00AE4AE3"/>
    <w:rsid w:val="00AE4DF7"/>
    <w:rsid w:val="00AF0DF1"/>
    <w:rsid w:val="00B0654E"/>
    <w:rsid w:val="00B434A8"/>
    <w:rsid w:val="00B613F1"/>
    <w:rsid w:val="00B63372"/>
    <w:rsid w:val="00B64179"/>
    <w:rsid w:val="00B72637"/>
    <w:rsid w:val="00B74865"/>
    <w:rsid w:val="00B8193B"/>
    <w:rsid w:val="00B91C5E"/>
    <w:rsid w:val="00B94370"/>
    <w:rsid w:val="00BA0844"/>
    <w:rsid w:val="00BA793F"/>
    <w:rsid w:val="00BD1C3E"/>
    <w:rsid w:val="00BE0045"/>
    <w:rsid w:val="00BE34DC"/>
    <w:rsid w:val="00BE5EAA"/>
    <w:rsid w:val="00BF0D6C"/>
    <w:rsid w:val="00BF4AE1"/>
    <w:rsid w:val="00C00368"/>
    <w:rsid w:val="00C06335"/>
    <w:rsid w:val="00C23D0D"/>
    <w:rsid w:val="00C250A8"/>
    <w:rsid w:val="00C27CA0"/>
    <w:rsid w:val="00C31506"/>
    <w:rsid w:val="00C451E5"/>
    <w:rsid w:val="00C64477"/>
    <w:rsid w:val="00C67302"/>
    <w:rsid w:val="00C80583"/>
    <w:rsid w:val="00C8435D"/>
    <w:rsid w:val="00CD696E"/>
    <w:rsid w:val="00D00F62"/>
    <w:rsid w:val="00D0120A"/>
    <w:rsid w:val="00D119C6"/>
    <w:rsid w:val="00D23BC9"/>
    <w:rsid w:val="00D5485C"/>
    <w:rsid w:val="00D75896"/>
    <w:rsid w:val="00D76AB2"/>
    <w:rsid w:val="00D803C7"/>
    <w:rsid w:val="00D80AA1"/>
    <w:rsid w:val="00D926DD"/>
    <w:rsid w:val="00DC6BEE"/>
    <w:rsid w:val="00DD7B70"/>
    <w:rsid w:val="00DE26C2"/>
    <w:rsid w:val="00DE592E"/>
    <w:rsid w:val="00DF2E04"/>
    <w:rsid w:val="00DF76A1"/>
    <w:rsid w:val="00E24BD1"/>
    <w:rsid w:val="00E41C7B"/>
    <w:rsid w:val="00E42E6F"/>
    <w:rsid w:val="00E51985"/>
    <w:rsid w:val="00E549C4"/>
    <w:rsid w:val="00E758A8"/>
    <w:rsid w:val="00EA19DB"/>
    <w:rsid w:val="00EB58C1"/>
    <w:rsid w:val="00EF0424"/>
    <w:rsid w:val="00F07773"/>
    <w:rsid w:val="00F10D8F"/>
    <w:rsid w:val="00F43146"/>
    <w:rsid w:val="00F53489"/>
    <w:rsid w:val="00F730D5"/>
    <w:rsid w:val="00F820BF"/>
    <w:rsid w:val="00F856E6"/>
    <w:rsid w:val="00FB3ACF"/>
    <w:rsid w:val="00FE0559"/>
    <w:rsid w:val="00FE5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2B298-928F-4C79-B906-823EFD5A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7B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7B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D7B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2637"/>
    <w:pPr>
      <w:spacing w:after="165"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72637"/>
    <w:pPr>
      <w:ind w:left="720"/>
      <w:contextualSpacing/>
    </w:pPr>
  </w:style>
  <w:style w:type="paragraph" w:styleId="Header">
    <w:name w:val="header"/>
    <w:basedOn w:val="Normal"/>
    <w:link w:val="HeaderChar"/>
    <w:uiPriority w:val="99"/>
    <w:unhideWhenUsed/>
    <w:rsid w:val="00401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794"/>
  </w:style>
  <w:style w:type="paragraph" w:styleId="Footer">
    <w:name w:val="footer"/>
    <w:basedOn w:val="Normal"/>
    <w:link w:val="FooterChar"/>
    <w:uiPriority w:val="99"/>
    <w:unhideWhenUsed/>
    <w:rsid w:val="00401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794"/>
  </w:style>
  <w:style w:type="character" w:customStyle="1" w:styleId="Heading1Char">
    <w:name w:val="Heading 1 Char"/>
    <w:basedOn w:val="DefaultParagraphFont"/>
    <w:link w:val="Heading1"/>
    <w:uiPriority w:val="9"/>
    <w:rsid w:val="00DD7B7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D7B70"/>
    <w:pPr>
      <w:outlineLvl w:val="9"/>
    </w:pPr>
    <w:rPr>
      <w:lang w:val="en-US"/>
    </w:rPr>
  </w:style>
  <w:style w:type="paragraph" w:styleId="TOC1">
    <w:name w:val="toc 1"/>
    <w:basedOn w:val="Normal"/>
    <w:next w:val="Normal"/>
    <w:autoRedefine/>
    <w:uiPriority w:val="39"/>
    <w:unhideWhenUsed/>
    <w:rsid w:val="00DD7B70"/>
    <w:pPr>
      <w:spacing w:after="100"/>
    </w:pPr>
  </w:style>
  <w:style w:type="character" w:styleId="Hyperlink">
    <w:name w:val="Hyperlink"/>
    <w:basedOn w:val="DefaultParagraphFont"/>
    <w:uiPriority w:val="99"/>
    <w:unhideWhenUsed/>
    <w:rsid w:val="00DD7B70"/>
    <w:rPr>
      <w:color w:val="0563C1" w:themeColor="hyperlink"/>
      <w:u w:val="single"/>
    </w:rPr>
  </w:style>
  <w:style w:type="paragraph" w:styleId="Title">
    <w:name w:val="Title"/>
    <w:basedOn w:val="Normal"/>
    <w:next w:val="Normal"/>
    <w:link w:val="TitleChar"/>
    <w:uiPriority w:val="10"/>
    <w:qFormat/>
    <w:rsid w:val="00DD7B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B7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D7B70"/>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DD7B70"/>
    <w:rPr>
      <w:i/>
      <w:iCs/>
      <w:color w:val="404040" w:themeColor="text1" w:themeTint="BF"/>
    </w:rPr>
  </w:style>
  <w:style w:type="character" w:customStyle="1" w:styleId="Heading3Char">
    <w:name w:val="Heading 3 Char"/>
    <w:basedOn w:val="DefaultParagraphFont"/>
    <w:link w:val="Heading3"/>
    <w:uiPriority w:val="9"/>
    <w:rsid w:val="00DD7B70"/>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DD7B70"/>
    <w:pPr>
      <w:spacing w:after="100"/>
      <w:ind w:left="220"/>
    </w:pPr>
  </w:style>
  <w:style w:type="paragraph" w:styleId="TOC3">
    <w:name w:val="toc 3"/>
    <w:basedOn w:val="Normal"/>
    <w:next w:val="Normal"/>
    <w:autoRedefine/>
    <w:uiPriority w:val="39"/>
    <w:unhideWhenUsed/>
    <w:rsid w:val="00DD7B70"/>
    <w:pPr>
      <w:spacing w:after="100"/>
      <w:ind w:left="440"/>
    </w:pPr>
  </w:style>
  <w:style w:type="paragraph" w:styleId="BalloonText">
    <w:name w:val="Balloon Text"/>
    <w:basedOn w:val="Normal"/>
    <w:link w:val="BalloonTextChar"/>
    <w:uiPriority w:val="99"/>
    <w:semiHidden/>
    <w:unhideWhenUsed/>
    <w:rsid w:val="00CD6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9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91803">
      <w:bodyDiv w:val="1"/>
      <w:marLeft w:val="0"/>
      <w:marRight w:val="0"/>
      <w:marTop w:val="0"/>
      <w:marBottom w:val="0"/>
      <w:divBdr>
        <w:top w:val="none" w:sz="0" w:space="0" w:color="auto"/>
        <w:left w:val="none" w:sz="0" w:space="0" w:color="auto"/>
        <w:bottom w:val="none" w:sz="0" w:space="0" w:color="auto"/>
        <w:right w:val="none" w:sz="0" w:space="0" w:color="auto"/>
      </w:divBdr>
      <w:divsChild>
        <w:div w:id="625741495">
          <w:marLeft w:val="0"/>
          <w:marRight w:val="0"/>
          <w:marTop w:val="0"/>
          <w:marBottom w:val="0"/>
          <w:divBdr>
            <w:top w:val="none" w:sz="0" w:space="0" w:color="auto"/>
            <w:left w:val="none" w:sz="0" w:space="0" w:color="auto"/>
            <w:bottom w:val="none" w:sz="0" w:space="0" w:color="auto"/>
            <w:right w:val="none" w:sz="0" w:space="0" w:color="auto"/>
          </w:divBdr>
          <w:divsChild>
            <w:div w:id="1048380097">
              <w:marLeft w:val="0"/>
              <w:marRight w:val="0"/>
              <w:marTop w:val="0"/>
              <w:marBottom w:val="0"/>
              <w:divBdr>
                <w:top w:val="none" w:sz="0" w:space="0" w:color="auto"/>
                <w:left w:val="none" w:sz="0" w:space="0" w:color="auto"/>
                <w:bottom w:val="none" w:sz="0" w:space="0" w:color="auto"/>
                <w:right w:val="none" w:sz="0" w:space="0" w:color="auto"/>
              </w:divBdr>
              <w:divsChild>
                <w:div w:id="827399041">
                  <w:marLeft w:val="0"/>
                  <w:marRight w:val="0"/>
                  <w:marTop w:val="0"/>
                  <w:marBottom w:val="0"/>
                  <w:divBdr>
                    <w:top w:val="none" w:sz="0" w:space="0" w:color="auto"/>
                    <w:left w:val="none" w:sz="0" w:space="0" w:color="auto"/>
                    <w:bottom w:val="none" w:sz="0" w:space="0" w:color="auto"/>
                    <w:right w:val="none" w:sz="0" w:space="0" w:color="auto"/>
                  </w:divBdr>
                  <w:divsChild>
                    <w:div w:id="1850870983">
                      <w:marLeft w:val="0"/>
                      <w:marRight w:val="0"/>
                      <w:marTop w:val="0"/>
                      <w:marBottom w:val="0"/>
                      <w:divBdr>
                        <w:top w:val="none" w:sz="0" w:space="0" w:color="auto"/>
                        <w:left w:val="none" w:sz="0" w:space="0" w:color="auto"/>
                        <w:bottom w:val="none" w:sz="0" w:space="0" w:color="auto"/>
                        <w:right w:val="none" w:sz="0" w:space="0" w:color="auto"/>
                      </w:divBdr>
                      <w:divsChild>
                        <w:div w:id="15663243">
                          <w:marLeft w:val="0"/>
                          <w:marRight w:val="0"/>
                          <w:marTop w:val="0"/>
                          <w:marBottom w:val="0"/>
                          <w:divBdr>
                            <w:top w:val="none" w:sz="0" w:space="0" w:color="auto"/>
                            <w:left w:val="none" w:sz="0" w:space="0" w:color="auto"/>
                            <w:bottom w:val="none" w:sz="0" w:space="0" w:color="auto"/>
                            <w:right w:val="none" w:sz="0" w:space="0" w:color="auto"/>
                          </w:divBdr>
                          <w:divsChild>
                            <w:div w:id="201791219">
                              <w:marLeft w:val="0"/>
                              <w:marRight w:val="0"/>
                              <w:marTop w:val="0"/>
                              <w:marBottom w:val="330"/>
                              <w:divBdr>
                                <w:top w:val="none" w:sz="0" w:space="0" w:color="auto"/>
                                <w:left w:val="none" w:sz="0" w:space="0" w:color="auto"/>
                                <w:bottom w:val="none" w:sz="0" w:space="0" w:color="auto"/>
                                <w:right w:val="none" w:sz="0" w:space="0" w:color="auto"/>
                              </w:divBdr>
                              <w:divsChild>
                                <w:div w:id="995842471">
                                  <w:marLeft w:val="0"/>
                                  <w:marRight w:val="0"/>
                                  <w:marTop w:val="0"/>
                                  <w:marBottom w:val="0"/>
                                  <w:divBdr>
                                    <w:top w:val="none" w:sz="0" w:space="0" w:color="auto"/>
                                    <w:left w:val="none" w:sz="0" w:space="0" w:color="auto"/>
                                    <w:bottom w:val="none" w:sz="0" w:space="0" w:color="auto"/>
                                    <w:right w:val="none" w:sz="0" w:space="0" w:color="auto"/>
                                  </w:divBdr>
                                  <w:divsChild>
                                    <w:div w:id="579605583">
                                      <w:marLeft w:val="0"/>
                                      <w:marRight w:val="0"/>
                                      <w:marTop w:val="0"/>
                                      <w:marBottom w:val="0"/>
                                      <w:divBdr>
                                        <w:top w:val="none" w:sz="0" w:space="0" w:color="auto"/>
                                        <w:left w:val="none" w:sz="0" w:space="0" w:color="auto"/>
                                        <w:bottom w:val="none" w:sz="0" w:space="0" w:color="auto"/>
                                        <w:right w:val="none" w:sz="0" w:space="0" w:color="auto"/>
                                      </w:divBdr>
                                      <w:divsChild>
                                        <w:div w:id="213046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042559">
      <w:bodyDiv w:val="1"/>
      <w:marLeft w:val="0"/>
      <w:marRight w:val="0"/>
      <w:marTop w:val="0"/>
      <w:marBottom w:val="0"/>
      <w:divBdr>
        <w:top w:val="none" w:sz="0" w:space="0" w:color="auto"/>
        <w:left w:val="none" w:sz="0" w:space="0" w:color="auto"/>
        <w:bottom w:val="none" w:sz="0" w:space="0" w:color="auto"/>
        <w:right w:val="none" w:sz="0" w:space="0" w:color="auto"/>
      </w:divBdr>
      <w:divsChild>
        <w:div w:id="138690018">
          <w:marLeft w:val="0"/>
          <w:marRight w:val="0"/>
          <w:marTop w:val="0"/>
          <w:marBottom w:val="0"/>
          <w:divBdr>
            <w:top w:val="none" w:sz="0" w:space="0" w:color="auto"/>
            <w:left w:val="none" w:sz="0" w:space="0" w:color="auto"/>
            <w:bottom w:val="none" w:sz="0" w:space="0" w:color="auto"/>
            <w:right w:val="none" w:sz="0" w:space="0" w:color="auto"/>
          </w:divBdr>
          <w:divsChild>
            <w:div w:id="2055151842">
              <w:marLeft w:val="0"/>
              <w:marRight w:val="0"/>
              <w:marTop w:val="0"/>
              <w:marBottom w:val="0"/>
              <w:divBdr>
                <w:top w:val="none" w:sz="0" w:space="0" w:color="auto"/>
                <w:left w:val="none" w:sz="0" w:space="0" w:color="auto"/>
                <w:bottom w:val="none" w:sz="0" w:space="0" w:color="auto"/>
                <w:right w:val="none" w:sz="0" w:space="0" w:color="auto"/>
              </w:divBdr>
              <w:divsChild>
                <w:div w:id="1697923733">
                  <w:marLeft w:val="0"/>
                  <w:marRight w:val="0"/>
                  <w:marTop w:val="0"/>
                  <w:marBottom w:val="0"/>
                  <w:divBdr>
                    <w:top w:val="none" w:sz="0" w:space="0" w:color="auto"/>
                    <w:left w:val="none" w:sz="0" w:space="0" w:color="auto"/>
                    <w:bottom w:val="none" w:sz="0" w:space="0" w:color="auto"/>
                    <w:right w:val="none" w:sz="0" w:space="0" w:color="auto"/>
                  </w:divBdr>
                  <w:divsChild>
                    <w:div w:id="2021614438">
                      <w:marLeft w:val="0"/>
                      <w:marRight w:val="0"/>
                      <w:marTop w:val="0"/>
                      <w:marBottom w:val="0"/>
                      <w:divBdr>
                        <w:top w:val="none" w:sz="0" w:space="0" w:color="auto"/>
                        <w:left w:val="none" w:sz="0" w:space="0" w:color="auto"/>
                        <w:bottom w:val="none" w:sz="0" w:space="0" w:color="auto"/>
                        <w:right w:val="none" w:sz="0" w:space="0" w:color="auto"/>
                      </w:divBdr>
                      <w:divsChild>
                        <w:div w:id="1082721507">
                          <w:marLeft w:val="0"/>
                          <w:marRight w:val="0"/>
                          <w:marTop w:val="0"/>
                          <w:marBottom w:val="0"/>
                          <w:divBdr>
                            <w:top w:val="none" w:sz="0" w:space="0" w:color="auto"/>
                            <w:left w:val="none" w:sz="0" w:space="0" w:color="auto"/>
                            <w:bottom w:val="none" w:sz="0" w:space="0" w:color="auto"/>
                            <w:right w:val="none" w:sz="0" w:space="0" w:color="auto"/>
                          </w:divBdr>
                          <w:divsChild>
                            <w:div w:id="1942183244">
                              <w:marLeft w:val="0"/>
                              <w:marRight w:val="0"/>
                              <w:marTop w:val="0"/>
                              <w:marBottom w:val="330"/>
                              <w:divBdr>
                                <w:top w:val="none" w:sz="0" w:space="0" w:color="auto"/>
                                <w:left w:val="none" w:sz="0" w:space="0" w:color="auto"/>
                                <w:bottom w:val="none" w:sz="0" w:space="0" w:color="auto"/>
                                <w:right w:val="none" w:sz="0" w:space="0" w:color="auto"/>
                              </w:divBdr>
                              <w:divsChild>
                                <w:div w:id="1950503094">
                                  <w:marLeft w:val="0"/>
                                  <w:marRight w:val="0"/>
                                  <w:marTop w:val="0"/>
                                  <w:marBottom w:val="0"/>
                                  <w:divBdr>
                                    <w:top w:val="none" w:sz="0" w:space="0" w:color="auto"/>
                                    <w:left w:val="none" w:sz="0" w:space="0" w:color="auto"/>
                                    <w:bottom w:val="none" w:sz="0" w:space="0" w:color="auto"/>
                                    <w:right w:val="none" w:sz="0" w:space="0" w:color="auto"/>
                                  </w:divBdr>
                                  <w:divsChild>
                                    <w:div w:id="639574411">
                                      <w:marLeft w:val="0"/>
                                      <w:marRight w:val="0"/>
                                      <w:marTop w:val="0"/>
                                      <w:marBottom w:val="0"/>
                                      <w:divBdr>
                                        <w:top w:val="none" w:sz="0" w:space="0" w:color="auto"/>
                                        <w:left w:val="none" w:sz="0" w:space="0" w:color="auto"/>
                                        <w:bottom w:val="none" w:sz="0" w:space="0" w:color="auto"/>
                                        <w:right w:val="none" w:sz="0" w:space="0" w:color="auto"/>
                                      </w:divBdr>
                                      <w:divsChild>
                                        <w:div w:id="20461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439492">
      <w:bodyDiv w:val="1"/>
      <w:marLeft w:val="0"/>
      <w:marRight w:val="0"/>
      <w:marTop w:val="0"/>
      <w:marBottom w:val="0"/>
      <w:divBdr>
        <w:top w:val="none" w:sz="0" w:space="0" w:color="auto"/>
        <w:left w:val="none" w:sz="0" w:space="0" w:color="auto"/>
        <w:bottom w:val="none" w:sz="0" w:space="0" w:color="auto"/>
        <w:right w:val="none" w:sz="0" w:space="0" w:color="auto"/>
      </w:divBdr>
      <w:divsChild>
        <w:div w:id="2080784145">
          <w:marLeft w:val="0"/>
          <w:marRight w:val="0"/>
          <w:marTop w:val="0"/>
          <w:marBottom w:val="0"/>
          <w:divBdr>
            <w:top w:val="none" w:sz="0" w:space="0" w:color="auto"/>
            <w:left w:val="none" w:sz="0" w:space="0" w:color="auto"/>
            <w:bottom w:val="none" w:sz="0" w:space="0" w:color="auto"/>
            <w:right w:val="none" w:sz="0" w:space="0" w:color="auto"/>
          </w:divBdr>
          <w:divsChild>
            <w:div w:id="1761675131">
              <w:marLeft w:val="0"/>
              <w:marRight w:val="0"/>
              <w:marTop w:val="0"/>
              <w:marBottom w:val="0"/>
              <w:divBdr>
                <w:top w:val="none" w:sz="0" w:space="0" w:color="auto"/>
                <w:left w:val="none" w:sz="0" w:space="0" w:color="auto"/>
                <w:bottom w:val="none" w:sz="0" w:space="0" w:color="auto"/>
                <w:right w:val="none" w:sz="0" w:space="0" w:color="auto"/>
              </w:divBdr>
              <w:divsChild>
                <w:div w:id="1091775924">
                  <w:marLeft w:val="0"/>
                  <w:marRight w:val="0"/>
                  <w:marTop w:val="0"/>
                  <w:marBottom w:val="0"/>
                  <w:divBdr>
                    <w:top w:val="none" w:sz="0" w:space="0" w:color="auto"/>
                    <w:left w:val="none" w:sz="0" w:space="0" w:color="auto"/>
                    <w:bottom w:val="none" w:sz="0" w:space="0" w:color="auto"/>
                    <w:right w:val="none" w:sz="0" w:space="0" w:color="auto"/>
                  </w:divBdr>
                  <w:divsChild>
                    <w:div w:id="375203424">
                      <w:marLeft w:val="0"/>
                      <w:marRight w:val="0"/>
                      <w:marTop w:val="0"/>
                      <w:marBottom w:val="0"/>
                      <w:divBdr>
                        <w:top w:val="none" w:sz="0" w:space="0" w:color="auto"/>
                        <w:left w:val="none" w:sz="0" w:space="0" w:color="auto"/>
                        <w:bottom w:val="none" w:sz="0" w:space="0" w:color="auto"/>
                        <w:right w:val="none" w:sz="0" w:space="0" w:color="auto"/>
                      </w:divBdr>
                      <w:divsChild>
                        <w:div w:id="1897742901">
                          <w:marLeft w:val="0"/>
                          <w:marRight w:val="0"/>
                          <w:marTop w:val="0"/>
                          <w:marBottom w:val="0"/>
                          <w:divBdr>
                            <w:top w:val="none" w:sz="0" w:space="0" w:color="auto"/>
                            <w:left w:val="none" w:sz="0" w:space="0" w:color="auto"/>
                            <w:bottom w:val="none" w:sz="0" w:space="0" w:color="auto"/>
                            <w:right w:val="none" w:sz="0" w:space="0" w:color="auto"/>
                          </w:divBdr>
                          <w:divsChild>
                            <w:div w:id="1100107327">
                              <w:marLeft w:val="0"/>
                              <w:marRight w:val="0"/>
                              <w:marTop w:val="0"/>
                              <w:marBottom w:val="330"/>
                              <w:divBdr>
                                <w:top w:val="none" w:sz="0" w:space="0" w:color="auto"/>
                                <w:left w:val="none" w:sz="0" w:space="0" w:color="auto"/>
                                <w:bottom w:val="none" w:sz="0" w:space="0" w:color="auto"/>
                                <w:right w:val="none" w:sz="0" w:space="0" w:color="auto"/>
                              </w:divBdr>
                              <w:divsChild>
                                <w:div w:id="1854421108">
                                  <w:marLeft w:val="0"/>
                                  <w:marRight w:val="0"/>
                                  <w:marTop w:val="0"/>
                                  <w:marBottom w:val="0"/>
                                  <w:divBdr>
                                    <w:top w:val="none" w:sz="0" w:space="0" w:color="auto"/>
                                    <w:left w:val="none" w:sz="0" w:space="0" w:color="auto"/>
                                    <w:bottom w:val="none" w:sz="0" w:space="0" w:color="auto"/>
                                    <w:right w:val="none" w:sz="0" w:space="0" w:color="auto"/>
                                  </w:divBdr>
                                  <w:divsChild>
                                    <w:div w:id="872576645">
                                      <w:marLeft w:val="0"/>
                                      <w:marRight w:val="0"/>
                                      <w:marTop w:val="0"/>
                                      <w:marBottom w:val="0"/>
                                      <w:divBdr>
                                        <w:top w:val="none" w:sz="0" w:space="0" w:color="auto"/>
                                        <w:left w:val="none" w:sz="0" w:space="0" w:color="auto"/>
                                        <w:bottom w:val="none" w:sz="0" w:space="0" w:color="auto"/>
                                        <w:right w:val="none" w:sz="0" w:space="0" w:color="auto"/>
                                      </w:divBdr>
                                      <w:divsChild>
                                        <w:div w:id="156945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811502">
      <w:bodyDiv w:val="1"/>
      <w:marLeft w:val="0"/>
      <w:marRight w:val="0"/>
      <w:marTop w:val="0"/>
      <w:marBottom w:val="0"/>
      <w:divBdr>
        <w:top w:val="none" w:sz="0" w:space="0" w:color="auto"/>
        <w:left w:val="none" w:sz="0" w:space="0" w:color="auto"/>
        <w:bottom w:val="none" w:sz="0" w:space="0" w:color="auto"/>
        <w:right w:val="none" w:sz="0" w:space="0" w:color="auto"/>
      </w:divBdr>
      <w:divsChild>
        <w:div w:id="210389928">
          <w:marLeft w:val="0"/>
          <w:marRight w:val="0"/>
          <w:marTop w:val="0"/>
          <w:marBottom w:val="0"/>
          <w:divBdr>
            <w:top w:val="none" w:sz="0" w:space="0" w:color="auto"/>
            <w:left w:val="none" w:sz="0" w:space="0" w:color="auto"/>
            <w:bottom w:val="none" w:sz="0" w:space="0" w:color="auto"/>
            <w:right w:val="none" w:sz="0" w:space="0" w:color="auto"/>
          </w:divBdr>
          <w:divsChild>
            <w:div w:id="363138573">
              <w:marLeft w:val="0"/>
              <w:marRight w:val="0"/>
              <w:marTop w:val="0"/>
              <w:marBottom w:val="0"/>
              <w:divBdr>
                <w:top w:val="none" w:sz="0" w:space="0" w:color="auto"/>
                <w:left w:val="none" w:sz="0" w:space="0" w:color="auto"/>
                <w:bottom w:val="none" w:sz="0" w:space="0" w:color="auto"/>
                <w:right w:val="none" w:sz="0" w:space="0" w:color="auto"/>
              </w:divBdr>
              <w:divsChild>
                <w:div w:id="225537356">
                  <w:marLeft w:val="0"/>
                  <w:marRight w:val="0"/>
                  <w:marTop w:val="0"/>
                  <w:marBottom w:val="0"/>
                  <w:divBdr>
                    <w:top w:val="none" w:sz="0" w:space="0" w:color="auto"/>
                    <w:left w:val="none" w:sz="0" w:space="0" w:color="auto"/>
                    <w:bottom w:val="none" w:sz="0" w:space="0" w:color="auto"/>
                    <w:right w:val="none" w:sz="0" w:space="0" w:color="auto"/>
                  </w:divBdr>
                  <w:divsChild>
                    <w:div w:id="261232892">
                      <w:marLeft w:val="0"/>
                      <w:marRight w:val="0"/>
                      <w:marTop w:val="0"/>
                      <w:marBottom w:val="0"/>
                      <w:divBdr>
                        <w:top w:val="none" w:sz="0" w:space="0" w:color="auto"/>
                        <w:left w:val="none" w:sz="0" w:space="0" w:color="auto"/>
                        <w:bottom w:val="none" w:sz="0" w:space="0" w:color="auto"/>
                        <w:right w:val="none" w:sz="0" w:space="0" w:color="auto"/>
                      </w:divBdr>
                      <w:divsChild>
                        <w:div w:id="885601437">
                          <w:marLeft w:val="0"/>
                          <w:marRight w:val="0"/>
                          <w:marTop w:val="0"/>
                          <w:marBottom w:val="0"/>
                          <w:divBdr>
                            <w:top w:val="none" w:sz="0" w:space="0" w:color="auto"/>
                            <w:left w:val="none" w:sz="0" w:space="0" w:color="auto"/>
                            <w:bottom w:val="none" w:sz="0" w:space="0" w:color="auto"/>
                            <w:right w:val="none" w:sz="0" w:space="0" w:color="auto"/>
                          </w:divBdr>
                          <w:divsChild>
                            <w:div w:id="459037467">
                              <w:marLeft w:val="0"/>
                              <w:marRight w:val="0"/>
                              <w:marTop w:val="0"/>
                              <w:marBottom w:val="330"/>
                              <w:divBdr>
                                <w:top w:val="none" w:sz="0" w:space="0" w:color="auto"/>
                                <w:left w:val="none" w:sz="0" w:space="0" w:color="auto"/>
                                <w:bottom w:val="none" w:sz="0" w:space="0" w:color="auto"/>
                                <w:right w:val="none" w:sz="0" w:space="0" w:color="auto"/>
                              </w:divBdr>
                              <w:divsChild>
                                <w:div w:id="898177350">
                                  <w:marLeft w:val="0"/>
                                  <w:marRight w:val="0"/>
                                  <w:marTop w:val="0"/>
                                  <w:marBottom w:val="0"/>
                                  <w:divBdr>
                                    <w:top w:val="none" w:sz="0" w:space="0" w:color="auto"/>
                                    <w:left w:val="none" w:sz="0" w:space="0" w:color="auto"/>
                                    <w:bottom w:val="none" w:sz="0" w:space="0" w:color="auto"/>
                                    <w:right w:val="none" w:sz="0" w:space="0" w:color="auto"/>
                                  </w:divBdr>
                                  <w:divsChild>
                                    <w:div w:id="1152409091">
                                      <w:marLeft w:val="0"/>
                                      <w:marRight w:val="0"/>
                                      <w:marTop w:val="0"/>
                                      <w:marBottom w:val="0"/>
                                      <w:divBdr>
                                        <w:top w:val="none" w:sz="0" w:space="0" w:color="auto"/>
                                        <w:left w:val="none" w:sz="0" w:space="0" w:color="auto"/>
                                        <w:bottom w:val="none" w:sz="0" w:space="0" w:color="auto"/>
                                        <w:right w:val="none" w:sz="0" w:space="0" w:color="auto"/>
                                      </w:divBdr>
                                      <w:divsChild>
                                        <w:div w:id="4607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4757857">
      <w:bodyDiv w:val="1"/>
      <w:marLeft w:val="0"/>
      <w:marRight w:val="0"/>
      <w:marTop w:val="0"/>
      <w:marBottom w:val="0"/>
      <w:divBdr>
        <w:top w:val="none" w:sz="0" w:space="0" w:color="auto"/>
        <w:left w:val="none" w:sz="0" w:space="0" w:color="auto"/>
        <w:bottom w:val="none" w:sz="0" w:space="0" w:color="auto"/>
        <w:right w:val="none" w:sz="0" w:space="0" w:color="auto"/>
      </w:divBdr>
      <w:divsChild>
        <w:div w:id="725302240">
          <w:marLeft w:val="0"/>
          <w:marRight w:val="0"/>
          <w:marTop w:val="0"/>
          <w:marBottom w:val="0"/>
          <w:divBdr>
            <w:top w:val="none" w:sz="0" w:space="0" w:color="auto"/>
            <w:left w:val="none" w:sz="0" w:space="0" w:color="auto"/>
            <w:bottom w:val="none" w:sz="0" w:space="0" w:color="auto"/>
            <w:right w:val="none" w:sz="0" w:space="0" w:color="auto"/>
          </w:divBdr>
          <w:divsChild>
            <w:div w:id="246233233">
              <w:marLeft w:val="0"/>
              <w:marRight w:val="0"/>
              <w:marTop w:val="0"/>
              <w:marBottom w:val="0"/>
              <w:divBdr>
                <w:top w:val="none" w:sz="0" w:space="0" w:color="auto"/>
                <w:left w:val="none" w:sz="0" w:space="0" w:color="auto"/>
                <w:bottom w:val="none" w:sz="0" w:space="0" w:color="auto"/>
                <w:right w:val="none" w:sz="0" w:space="0" w:color="auto"/>
              </w:divBdr>
              <w:divsChild>
                <w:div w:id="859393296">
                  <w:marLeft w:val="0"/>
                  <w:marRight w:val="0"/>
                  <w:marTop w:val="0"/>
                  <w:marBottom w:val="0"/>
                  <w:divBdr>
                    <w:top w:val="none" w:sz="0" w:space="0" w:color="auto"/>
                    <w:left w:val="none" w:sz="0" w:space="0" w:color="auto"/>
                    <w:bottom w:val="none" w:sz="0" w:space="0" w:color="auto"/>
                    <w:right w:val="none" w:sz="0" w:space="0" w:color="auto"/>
                  </w:divBdr>
                  <w:divsChild>
                    <w:div w:id="109786661">
                      <w:marLeft w:val="0"/>
                      <w:marRight w:val="0"/>
                      <w:marTop w:val="0"/>
                      <w:marBottom w:val="0"/>
                      <w:divBdr>
                        <w:top w:val="none" w:sz="0" w:space="0" w:color="auto"/>
                        <w:left w:val="none" w:sz="0" w:space="0" w:color="auto"/>
                        <w:bottom w:val="none" w:sz="0" w:space="0" w:color="auto"/>
                        <w:right w:val="none" w:sz="0" w:space="0" w:color="auto"/>
                      </w:divBdr>
                      <w:divsChild>
                        <w:div w:id="556597548">
                          <w:marLeft w:val="0"/>
                          <w:marRight w:val="0"/>
                          <w:marTop w:val="0"/>
                          <w:marBottom w:val="0"/>
                          <w:divBdr>
                            <w:top w:val="none" w:sz="0" w:space="0" w:color="auto"/>
                            <w:left w:val="none" w:sz="0" w:space="0" w:color="auto"/>
                            <w:bottom w:val="none" w:sz="0" w:space="0" w:color="auto"/>
                            <w:right w:val="none" w:sz="0" w:space="0" w:color="auto"/>
                          </w:divBdr>
                          <w:divsChild>
                            <w:div w:id="922104549">
                              <w:marLeft w:val="0"/>
                              <w:marRight w:val="0"/>
                              <w:marTop w:val="0"/>
                              <w:marBottom w:val="330"/>
                              <w:divBdr>
                                <w:top w:val="none" w:sz="0" w:space="0" w:color="auto"/>
                                <w:left w:val="none" w:sz="0" w:space="0" w:color="auto"/>
                                <w:bottom w:val="none" w:sz="0" w:space="0" w:color="auto"/>
                                <w:right w:val="none" w:sz="0" w:space="0" w:color="auto"/>
                              </w:divBdr>
                              <w:divsChild>
                                <w:div w:id="1113357919">
                                  <w:marLeft w:val="0"/>
                                  <w:marRight w:val="0"/>
                                  <w:marTop w:val="0"/>
                                  <w:marBottom w:val="0"/>
                                  <w:divBdr>
                                    <w:top w:val="none" w:sz="0" w:space="0" w:color="auto"/>
                                    <w:left w:val="none" w:sz="0" w:space="0" w:color="auto"/>
                                    <w:bottom w:val="none" w:sz="0" w:space="0" w:color="auto"/>
                                    <w:right w:val="none" w:sz="0" w:space="0" w:color="auto"/>
                                  </w:divBdr>
                                  <w:divsChild>
                                    <w:div w:id="154692691">
                                      <w:marLeft w:val="0"/>
                                      <w:marRight w:val="0"/>
                                      <w:marTop w:val="0"/>
                                      <w:marBottom w:val="0"/>
                                      <w:divBdr>
                                        <w:top w:val="none" w:sz="0" w:space="0" w:color="auto"/>
                                        <w:left w:val="none" w:sz="0" w:space="0" w:color="auto"/>
                                        <w:bottom w:val="none" w:sz="0" w:space="0" w:color="auto"/>
                                        <w:right w:val="none" w:sz="0" w:space="0" w:color="auto"/>
                                      </w:divBdr>
                                      <w:divsChild>
                                        <w:div w:id="8139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452129">
      <w:bodyDiv w:val="1"/>
      <w:marLeft w:val="0"/>
      <w:marRight w:val="0"/>
      <w:marTop w:val="0"/>
      <w:marBottom w:val="0"/>
      <w:divBdr>
        <w:top w:val="none" w:sz="0" w:space="0" w:color="auto"/>
        <w:left w:val="none" w:sz="0" w:space="0" w:color="auto"/>
        <w:bottom w:val="none" w:sz="0" w:space="0" w:color="auto"/>
        <w:right w:val="none" w:sz="0" w:space="0" w:color="auto"/>
      </w:divBdr>
      <w:divsChild>
        <w:div w:id="758716328">
          <w:marLeft w:val="0"/>
          <w:marRight w:val="0"/>
          <w:marTop w:val="0"/>
          <w:marBottom w:val="0"/>
          <w:divBdr>
            <w:top w:val="none" w:sz="0" w:space="0" w:color="auto"/>
            <w:left w:val="none" w:sz="0" w:space="0" w:color="auto"/>
            <w:bottom w:val="none" w:sz="0" w:space="0" w:color="auto"/>
            <w:right w:val="none" w:sz="0" w:space="0" w:color="auto"/>
          </w:divBdr>
          <w:divsChild>
            <w:div w:id="1520390037">
              <w:marLeft w:val="0"/>
              <w:marRight w:val="0"/>
              <w:marTop w:val="0"/>
              <w:marBottom w:val="0"/>
              <w:divBdr>
                <w:top w:val="none" w:sz="0" w:space="0" w:color="auto"/>
                <w:left w:val="none" w:sz="0" w:space="0" w:color="auto"/>
                <w:bottom w:val="none" w:sz="0" w:space="0" w:color="auto"/>
                <w:right w:val="none" w:sz="0" w:space="0" w:color="auto"/>
              </w:divBdr>
              <w:divsChild>
                <w:div w:id="1644039274">
                  <w:marLeft w:val="0"/>
                  <w:marRight w:val="0"/>
                  <w:marTop w:val="0"/>
                  <w:marBottom w:val="0"/>
                  <w:divBdr>
                    <w:top w:val="none" w:sz="0" w:space="0" w:color="auto"/>
                    <w:left w:val="none" w:sz="0" w:space="0" w:color="auto"/>
                    <w:bottom w:val="none" w:sz="0" w:space="0" w:color="auto"/>
                    <w:right w:val="none" w:sz="0" w:space="0" w:color="auto"/>
                  </w:divBdr>
                  <w:divsChild>
                    <w:div w:id="2001158091">
                      <w:marLeft w:val="0"/>
                      <w:marRight w:val="0"/>
                      <w:marTop w:val="0"/>
                      <w:marBottom w:val="0"/>
                      <w:divBdr>
                        <w:top w:val="none" w:sz="0" w:space="0" w:color="auto"/>
                        <w:left w:val="none" w:sz="0" w:space="0" w:color="auto"/>
                        <w:bottom w:val="none" w:sz="0" w:space="0" w:color="auto"/>
                        <w:right w:val="none" w:sz="0" w:space="0" w:color="auto"/>
                      </w:divBdr>
                      <w:divsChild>
                        <w:div w:id="1278298587">
                          <w:marLeft w:val="0"/>
                          <w:marRight w:val="0"/>
                          <w:marTop w:val="0"/>
                          <w:marBottom w:val="0"/>
                          <w:divBdr>
                            <w:top w:val="none" w:sz="0" w:space="0" w:color="auto"/>
                            <w:left w:val="none" w:sz="0" w:space="0" w:color="auto"/>
                            <w:bottom w:val="none" w:sz="0" w:space="0" w:color="auto"/>
                            <w:right w:val="none" w:sz="0" w:space="0" w:color="auto"/>
                          </w:divBdr>
                          <w:divsChild>
                            <w:div w:id="1829976433">
                              <w:marLeft w:val="0"/>
                              <w:marRight w:val="0"/>
                              <w:marTop w:val="0"/>
                              <w:marBottom w:val="330"/>
                              <w:divBdr>
                                <w:top w:val="none" w:sz="0" w:space="0" w:color="auto"/>
                                <w:left w:val="none" w:sz="0" w:space="0" w:color="auto"/>
                                <w:bottom w:val="none" w:sz="0" w:space="0" w:color="auto"/>
                                <w:right w:val="none" w:sz="0" w:space="0" w:color="auto"/>
                              </w:divBdr>
                              <w:divsChild>
                                <w:div w:id="487870729">
                                  <w:marLeft w:val="0"/>
                                  <w:marRight w:val="0"/>
                                  <w:marTop w:val="0"/>
                                  <w:marBottom w:val="0"/>
                                  <w:divBdr>
                                    <w:top w:val="none" w:sz="0" w:space="0" w:color="auto"/>
                                    <w:left w:val="none" w:sz="0" w:space="0" w:color="auto"/>
                                    <w:bottom w:val="none" w:sz="0" w:space="0" w:color="auto"/>
                                    <w:right w:val="none" w:sz="0" w:space="0" w:color="auto"/>
                                  </w:divBdr>
                                  <w:divsChild>
                                    <w:div w:id="877278950">
                                      <w:marLeft w:val="0"/>
                                      <w:marRight w:val="0"/>
                                      <w:marTop w:val="0"/>
                                      <w:marBottom w:val="0"/>
                                      <w:divBdr>
                                        <w:top w:val="none" w:sz="0" w:space="0" w:color="auto"/>
                                        <w:left w:val="none" w:sz="0" w:space="0" w:color="auto"/>
                                        <w:bottom w:val="none" w:sz="0" w:space="0" w:color="auto"/>
                                        <w:right w:val="none" w:sz="0" w:space="0" w:color="auto"/>
                                      </w:divBdr>
                                      <w:divsChild>
                                        <w:div w:id="8974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5861600">
      <w:bodyDiv w:val="1"/>
      <w:marLeft w:val="0"/>
      <w:marRight w:val="0"/>
      <w:marTop w:val="0"/>
      <w:marBottom w:val="0"/>
      <w:divBdr>
        <w:top w:val="none" w:sz="0" w:space="0" w:color="auto"/>
        <w:left w:val="none" w:sz="0" w:space="0" w:color="auto"/>
        <w:bottom w:val="none" w:sz="0" w:space="0" w:color="auto"/>
        <w:right w:val="none" w:sz="0" w:space="0" w:color="auto"/>
      </w:divBdr>
      <w:divsChild>
        <w:div w:id="975649557">
          <w:marLeft w:val="0"/>
          <w:marRight w:val="0"/>
          <w:marTop w:val="0"/>
          <w:marBottom w:val="0"/>
          <w:divBdr>
            <w:top w:val="none" w:sz="0" w:space="0" w:color="auto"/>
            <w:left w:val="none" w:sz="0" w:space="0" w:color="auto"/>
            <w:bottom w:val="none" w:sz="0" w:space="0" w:color="auto"/>
            <w:right w:val="none" w:sz="0" w:space="0" w:color="auto"/>
          </w:divBdr>
          <w:divsChild>
            <w:div w:id="637107200">
              <w:marLeft w:val="0"/>
              <w:marRight w:val="0"/>
              <w:marTop w:val="0"/>
              <w:marBottom w:val="0"/>
              <w:divBdr>
                <w:top w:val="none" w:sz="0" w:space="0" w:color="auto"/>
                <w:left w:val="none" w:sz="0" w:space="0" w:color="auto"/>
                <w:bottom w:val="none" w:sz="0" w:space="0" w:color="auto"/>
                <w:right w:val="none" w:sz="0" w:space="0" w:color="auto"/>
              </w:divBdr>
              <w:divsChild>
                <w:div w:id="1852915417">
                  <w:marLeft w:val="0"/>
                  <w:marRight w:val="0"/>
                  <w:marTop w:val="0"/>
                  <w:marBottom w:val="0"/>
                  <w:divBdr>
                    <w:top w:val="none" w:sz="0" w:space="0" w:color="auto"/>
                    <w:left w:val="none" w:sz="0" w:space="0" w:color="auto"/>
                    <w:bottom w:val="none" w:sz="0" w:space="0" w:color="auto"/>
                    <w:right w:val="none" w:sz="0" w:space="0" w:color="auto"/>
                  </w:divBdr>
                  <w:divsChild>
                    <w:div w:id="796408385">
                      <w:marLeft w:val="0"/>
                      <w:marRight w:val="0"/>
                      <w:marTop w:val="0"/>
                      <w:marBottom w:val="0"/>
                      <w:divBdr>
                        <w:top w:val="none" w:sz="0" w:space="0" w:color="auto"/>
                        <w:left w:val="none" w:sz="0" w:space="0" w:color="auto"/>
                        <w:bottom w:val="none" w:sz="0" w:space="0" w:color="auto"/>
                        <w:right w:val="none" w:sz="0" w:space="0" w:color="auto"/>
                      </w:divBdr>
                      <w:divsChild>
                        <w:div w:id="754324299">
                          <w:marLeft w:val="0"/>
                          <w:marRight w:val="0"/>
                          <w:marTop w:val="0"/>
                          <w:marBottom w:val="0"/>
                          <w:divBdr>
                            <w:top w:val="none" w:sz="0" w:space="0" w:color="auto"/>
                            <w:left w:val="none" w:sz="0" w:space="0" w:color="auto"/>
                            <w:bottom w:val="none" w:sz="0" w:space="0" w:color="auto"/>
                            <w:right w:val="none" w:sz="0" w:space="0" w:color="auto"/>
                          </w:divBdr>
                          <w:divsChild>
                            <w:div w:id="693313456">
                              <w:marLeft w:val="0"/>
                              <w:marRight w:val="0"/>
                              <w:marTop w:val="0"/>
                              <w:marBottom w:val="330"/>
                              <w:divBdr>
                                <w:top w:val="none" w:sz="0" w:space="0" w:color="auto"/>
                                <w:left w:val="none" w:sz="0" w:space="0" w:color="auto"/>
                                <w:bottom w:val="none" w:sz="0" w:space="0" w:color="auto"/>
                                <w:right w:val="none" w:sz="0" w:space="0" w:color="auto"/>
                              </w:divBdr>
                              <w:divsChild>
                                <w:div w:id="767312248">
                                  <w:marLeft w:val="0"/>
                                  <w:marRight w:val="0"/>
                                  <w:marTop w:val="0"/>
                                  <w:marBottom w:val="0"/>
                                  <w:divBdr>
                                    <w:top w:val="none" w:sz="0" w:space="0" w:color="auto"/>
                                    <w:left w:val="none" w:sz="0" w:space="0" w:color="auto"/>
                                    <w:bottom w:val="none" w:sz="0" w:space="0" w:color="auto"/>
                                    <w:right w:val="none" w:sz="0" w:space="0" w:color="auto"/>
                                  </w:divBdr>
                                  <w:divsChild>
                                    <w:div w:id="751312933">
                                      <w:marLeft w:val="0"/>
                                      <w:marRight w:val="0"/>
                                      <w:marTop w:val="0"/>
                                      <w:marBottom w:val="0"/>
                                      <w:divBdr>
                                        <w:top w:val="none" w:sz="0" w:space="0" w:color="auto"/>
                                        <w:left w:val="none" w:sz="0" w:space="0" w:color="auto"/>
                                        <w:bottom w:val="none" w:sz="0" w:space="0" w:color="auto"/>
                                        <w:right w:val="none" w:sz="0" w:space="0" w:color="auto"/>
                                      </w:divBdr>
                                      <w:divsChild>
                                        <w:div w:id="7939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083722">
      <w:bodyDiv w:val="1"/>
      <w:marLeft w:val="0"/>
      <w:marRight w:val="0"/>
      <w:marTop w:val="0"/>
      <w:marBottom w:val="0"/>
      <w:divBdr>
        <w:top w:val="none" w:sz="0" w:space="0" w:color="auto"/>
        <w:left w:val="none" w:sz="0" w:space="0" w:color="auto"/>
        <w:bottom w:val="none" w:sz="0" w:space="0" w:color="auto"/>
        <w:right w:val="none" w:sz="0" w:space="0" w:color="auto"/>
      </w:divBdr>
      <w:divsChild>
        <w:div w:id="489446148">
          <w:marLeft w:val="0"/>
          <w:marRight w:val="0"/>
          <w:marTop w:val="0"/>
          <w:marBottom w:val="0"/>
          <w:divBdr>
            <w:top w:val="none" w:sz="0" w:space="0" w:color="auto"/>
            <w:left w:val="none" w:sz="0" w:space="0" w:color="auto"/>
            <w:bottom w:val="none" w:sz="0" w:space="0" w:color="auto"/>
            <w:right w:val="none" w:sz="0" w:space="0" w:color="auto"/>
          </w:divBdr>
          <w:divsChild>
            <w:div w:id="1344822986">
              <w:marLeft w:val="0"/>
              <w:marRight w:val="0"/>
              <w:marTop w:val="0"/>
              <w:marBottom w:val="0"/>
              <w:divBdr>
                <w:top w:val="none" w:sz="0" w:space="0" w:color="auto"/>
                <w:left w:val="none" w:sz="0" w:space="0" w:color="auto"/>
                <w:bottom w:val="none" w:sz="0" w:space="0" w:color="auto"/>
                <w:right w:val="none" w:sz="0" w:space="0" w:color="auto"/>
              </w:divBdr>
              <w:divsChild>
                <w:div w:id="1420757518">
                  <w:marLeft w:val="0"/>
                  <w:marRight w:val="0"/>
                  <w:marTop w:val="0"/>
                  <w:marBottom w:val="0"/>
                  <w:divBdr>
                    <w:top w:val="none" w:sz="0" w:space="0" w:color="auto"/>
                    <w:left w:val="none" w:sz="0" w:space="0" w:color="auto"/>
                    <w:bottom w:val="none" w:sz="0" w:space="0" w:color="auto"/>
                    <w:right w:val="none" w:sz="0" w:space="0" w:color="auto"/>
                  </w:divBdr>
                  <w:divsChild>
                    <w:div w:id="1623075455">
                      <w:marLeft w:val="0"/>
                      <w:marRight w:val="0"/>
                      <w:marTop w:val="0"/>
                      <w:marBottom w:val="0"/>
                      <w:divBdr>
                        <w:top w:val="none" w:sz="0" w:space="0" w:color="auto"/>
                        <w:left w:val="none" w:sz="0" w:space="0" w:color="auto"/>
                        <w:bottom w:val="none" w:sz="0" w:space="0" w:color="auto"/>
                        <w:right w:val="none" w:sz="0" w:space="0" w:color="auto"/>
                      </w:divBdr>
                      <w:divsChild>
                        <w:div w:id="1118797392">
                          <w:marLeft w:val="0"/>
                          <w:marRight w:val="0"/>
                          <w:marTop w:val="0"/>
                          <w:marBottom w:val="0"/>
                          <w:divBdr>
                            <w:top w:val="none" w:sz="0" w:space="0" w:color="auto"/>
                            <w:left w:val="none" w:sz="0" w:space="0" w:color="auto"/>
                            <w:bottom w:val="none" w:sz="0" w:space="0" w:color="auto"/>
                            <w:right w:val="none" w:sz="0" w:space="0" w:color="auto"/>
                          </w:divBdr>
                          <w:divsChild>
                            <w:div w:id="339740257">
                              <w:marLeft w:val="0"/>
                              <w:marRight w:val="0"/>
                              <w:marTop w:val="0"/>
                              <w:marBottom w:val="330"/>
                              <w:divBdr>
                                <w:top w:val="none" w:sz="0" w:space="0" w:color="auto"/>
                                <w:left w:val="none" w:sz="0" w:space="0" w:color="auto"/>
                                <w:bottom w:val="none" w:sz="0" w:space="0" w:color="auto"/>
                                <w:right w:val="none" w:sz="0" w:space="0" w:color="auto"/>
                              </w:divBdr>
                              <w:divsChild>
                                <w:div w:id="1929725387">
                                  <w:marLeft w:val="0"/>
                                  <w:marRight w:val="0"/>
                                  <w:marTop w:val="0"/>
                                  <w:marBottom w:val="330"/>
                                  <w:divBdr>
                                    <w:top w:val="none" w:sz="0" w:space="0" w:color="auto"/>
                                    <w:left w:val="none" w:sz="0" w:space="0" w:color="auto"/>
                                    <w:bottom w:val="none" w:sz="0" w:space="0" w:color="auto"/>
                                    <w:right w:val="none" w:sz="0" w:space="0" w:color="auto"/>
                                  </w:divBdr>
                                  <w:divsChild>
                                    <w:div w:id="2097746348">
                                      <w:marLeft w:val="0"/>
                                      <w:marRight w:val="0"/>
                                      <w:marTop w:val="0"/>
                                      <w:marBottom w:val="0"/>
                                      <w:divBdr>
                                        <w:top w:val="none" w:sz="0" w:space="0" w:color="auto"/>
                                        <w:left w:val="none" w:sz="0" w:space="0" w:color="auto"/>
                                        <w:bottom w:val="none" w:sz="0" w:space="0" w:color="auto"/>
                                        <w:right w:val="none" w:sz="0" w:space="0" w:color="auto"/>
                                      </w:divBdr>
                                      <w:divsChild>
                                        <w:div w:id="1725058760">
                                          <w:marLeft w:val="0"/>
                                          <w:marRight w:val="0"/>
                                          <w:marTop w:val="0"/>
                                          <w:marBottom w:val="0"/>
                                          <w:divBdr>
                                            <w:top w:val="none" w:sz="0" w:space="0" w:color="auto"/>
                                            <w:left w:val="none" w:sz="0" w:space="0" w:color="auto"/>
                                            <w:bottom w:val="none" w:sz="0" w:space="0" w:color="auto"/>
                                            <w:right w:val="none" w:sz="0" w:space="0" w:color="auto"/>
                                          </w:divBdr>
                                          <w:divsChild>
                                            <w:div w:id="10757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446561">
      <w:bodyDiv w:val="1"/>
      <w:marLeft w:val="0"/>
      <w:marRight w:val="0"/>
      <w:marTop w:val="0"/>
      <w:marBottom w:val="0"/>
      <w:divBdr>
        <w:top w:val="none" w:sz="0" w:space="0" w:color="auto"/>
        <w:left w:val="none" w:sz="0" w:space="0" w:color="auto"/>
        <w:bottom w:val="none" w:sz="0" w:space="0" w:color="auto"/>
        <w:right w:val="none" w:sz="0" w:space="0" w:color="auto"/>
      </w:divBdr>
      <w:divsChild>
        <w:div w:id="656373914">
          <w:marLeft w:val="0"/>
          <w:marRight w:val="0"/>
          <w:marTop w:val="0"/>
          <w:marBottom w:val="0"/>
          <w:divBdr>
            <w:top w:val="none" w:sz="0" w:space="0" w:color="auto"/>
            <w:left w:val="none" w:sz="0" w:space="0" w:color="auto"/>
            <w:bottom w:val="none" w:sz="0" w:space="0" w:color="auto"/>
            <w:right w:val="none" w:sz="0" w:space="0" w:color="auto"/>
          </w:divBdr>
          <w:divsChild>
            <w:div w:id="1356806042">
              <w:marLeft w:val="0"/>
              <w:marRight w:val="0"/>
              <w:marTop w:val="0"/>
              <w:marBottom w:val="0"/>
              <w:divBdr>
                <w:top w:val="none" w:sz="0" w:space="0" w:color="auto"/>
                <w:left w:val="none" w:sz="0" w:space="0" w:color="auto"/>
                <w:bottom w:val="none" w:sz="0" w:space="0" w:color="auto"/>
                <w:right w:val="none" w:sz="0" w:space="0" w:color="auto"/>
              </w:divBdr>
              <w:divsChild>
                <w:div w:id="1247417991">
                  <w:marLeft w:val="0"/>
                  <w:marRight w:val="0"/>
                  <w:marTop w:val="0"/>
                  <w:marBottom w:val="0"/>
                  <w:divBdr>
                    <w:top w:val="none" w:sz="0" w:space="0" w:color="auto"/>
                    <w:left w:val="none" w:sz="0" w:space="0" w:color="auto"/>
                    <w:bottom w:val="none" w:sz="0" w:space="0" w:color="auto"/>
                    <w:right w:val="none" w:sz="0" w:space="0" w:color="auto"/>
                  </w:divBdr>
                  <w:divsChild>
                    <w:div w:id="2022470115">
                      <w:marLeft w:val="0"/>
                      <w:marRight w:val="0"/>
                      <w:marTop w:val="0"/>
                      <w:marBottom w:val="0"/>
                      <w:divBdr>
                        <w:top w:val="none" w:sz="0" w:space="0" w:color="auto"/>
                        <w:left w:val="none" w:sz="0" w:space="0" w:color="auto"/>
                        <w:bottom w:val="none" w:sz="0" w:space="0" w:color="auto"/>
                        <w:right w:val="none" w:sz="0" w:space="0" w:color="auto"/>
                      </w:divBdr>
                      <w:divsChild>
                        <w:div w:id="1058019346">
                          <w:marLeft w:val="0"/>
                          <w:marRight w:val="0"/>
                          <w:marTop w:val="0"/>
                          <w:marBottom w:val="0"/>
                          <w:divBdr>
                            <w:top w:val="none" w:sz="0" w:space="0" w:color="auto"/>
                            <w:left w:val="none" w:sz="0" w:space="0" w:color="auto"/>
                            <w:bottom w:val="none" w:sz="0" w:space="0" w:color="auto"/>
                            <w:right w:val="none" w:sz="0" w:space="0" w:color="auto"/>
                          </w:divBdr>
                          <w:divsChild>
                            <w:div w:id="98306030">
                              <w:marLeft w:val="0"/>
                              <w:marRight w:val="0"/>
                              <w:marTop w:val="0"/>
                              <w:marBottom w:val="330"/>
                              <w:divBdr>
                                <w:top w:val="none" w:sz="0" w:space="0" w:color="auto"/>
                                <w:left w:val="none" w:sz="0" w:space="0" w:color="auto"/>
                                <w:bottom w:val="none" w:sz="0" w:space="0" w:color="auto"/>
                                <w:right w:val="none" w:sz="0" w:space="0" w:color="auto"/>
                              </w:divBdr>
                              <w:divsChild>
                                <w:div w:id="201748858">
                                  <w:marLeft w:val="0"/>
                                  <w:marRight w:val="0"/>
                                  <w:marTop w:val="0"/>
                                  <w:marBottom w:val="0"/>
                                  <w:divBdr>
                                    <w:top w:val="none" w:sz="0" w:space="0" w:color="auto"/>
                                    <w:left w:val="none" w:sz="0" w:space="0" w:color="auto"/>
                                    <w:bottom w:val="none" w:sz="0" w:space="0" w:color="auto"/>
                                    <w:right w:val="none" w:sz="0" w:space="0" w:color="auto"/>
                                  </w:divBdr>
                                  <w:divsChild>
                                    <w:div w:id="2020542288">
                                      <w:marLeft w:val="0"/>
                                      <w:marRight w:val="0"/>
                                      <w:marTop w:val="0"/>
                                      <w:marBottom w:val="0"/>
                                      <w:divBdr>
                                        <w:top w:val="none" w:sz="0" w:space="0" w:color="auto"/>
                                        <w:left w:val="none" w:sz="0" w:space="0" w:color="auto"/>
                                        <w:bottom w:val="none" w:sz="0" w:space="0" w:color="auto"/>
                                        <w:right w:val="none" w:sz="0" w:space="0" w:color="auto"/>
                                      </w:divBdr>
                                      <w:divsChild>
                                        <w:div w:id="174525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7383986">
      <w:bodyDiv w:val="1"/>
      <w:marLeft w:val="0"/>
      <w:marRight w:val="0"/>
      <w:marTop w:val="0"/>
      <w:marBottom w:val="0"/>
      <w:divBdr>
        <w:top w:val="none" w:sz="0" w:space="0" w:color="auto"/>
        <w:left w:val="none" w:sz="0" w:space="0" w:color="auto"/>
        <w:bottom w:val="none" w:sz="0" w:space="0" w:color="auto"/>
        <w:right w:val="none" w:sz="0" w:space="0" w:color="auto"/>
      </w:divBdr>
      <w:divsChild>
        <w:div w:id="1457987288">
          <w:marLeft w:val="0"/>
          <w:marRight w:val="0"/>
          <w:marTop w:val="0"/>
          <w:marBottom w:val="0"/>
          <w:divBdr>
            <w:top w:val="none" w:sz="0" w:space="0" w:color="auto"/>
            <w:left w:val="none" w:sz="0" w:space="0" w:color="auto"/>
            <w:bottom w:val="none" w:sz="0" w:space="0" w:color="auto"/>
            <w:right w:val="none" w:sz="0" w:space="0" w:color="auto"/>
          </w:divBdr>
          <w:divsChild>
            <w:div w:id="1566330561">
              <w:marLeft w:val="0"/>
              <w:marRight w:val="0"/>
              <w:marTop w:val="0"/>
              <w:marBottom w:val="0"/>
              <w:divBdr>
                <w:top w:val="none" w:sz="0" w:space="0" w:color="auto"/>
                <w:left w:val="none" w:sz="0" w:space="0" w:color="auto"/>
                <w:bottom w:val="none" w:sz="0" w:space="0" w:color="auto"/>
                <w:right w:val="none" w:sz="0" w:space="0" w:color="auto"/>
              </w:divBdr>
              <w:divsChild>
                <w:div w:id="1981498175">
                  <w:marLeft w:val="0"/>
                  <w:marRight w:val="0"/>
                  <w:marTop w:val="0"/>
                  <w:marBottom w:val="0"/>
                  <w:divBdr>
                    <w:top w:val="none" w:sz="0" w:space="0" w:color="auto"/>
                    <w:left w:val="none" w:sz="0" w:space="0" w:color="auto"/>
                    <w:bottom w:val="none" w:sz="0" w:space="0" w:color="auto"/>
                    <w:right w:val="none" w:sz="0" w:space="0" w:color="auto"/>
                  </w:divBdr>
                  <w:divsChild>
                    <w:div w:id="1204708916">
                      <w:marLeft w:val="0"/>
                      <w:marRight w:val="0"/>
                      <w:marTop w:val="0"/>
                      <w:marBottom w:val="0"/>
                      <w:divBdr>
                        <w:top w:val="none" w:sz="0" w:space="0" w:color="auto"/>
                        <w:left w:val="none" w:sz="0" w:space="0" w:color="auto"/>
                        <w:bottom w:val="none" w:sz="0" w:space="0" w:color="auto"/>
                        <w:right w:val="none" w:sz="0" w:space="0" w:color="auto"/>
                      </w:divBdr>
                      <w:divsChild>
                        <w:div w:id="1470126355">
                          <w:marLeft w:val="0"/>
                          <w:marRight w:val="0"/>
                          <w:marTop w:val="0"/>
                          <w:marBottom w:val="0"/>
                          <w:divBdr>
                            <w:top w:val="none" w:sz="0" w:space="0" w:color="auto"/>
                            <w:left w:val="none" w:sz="0" w:space="0" w:color="auto"/>
                            <w:bottom w:val="none" w:sz="0" w:space="0" w:color="auto"/>
                            <w:right w:val="none" w:sz="0" w:space="0" w:color="auto"/>
                          </w:divBdr>
                          <w:divsChild>
                            <w:div w:id="233978996">
                              <w:marLeft w:val="0"/>
                              <w:marRight w:val="0"/>
                              <w:marTop w:val="0"/>
                              <w:marBottom w:val="330"/>
                              <w:divBdr>
                                <w:top w:val="none" w:sz="0" w:space="0" w:color="auto"/>
                                <w:left w:val="none" w:sz="0" w:space="0" w:color="auto"/>
                                <w:bottom w:val="none" w:sz="0" w:space="0" w:color="auto"/>
                                <w:right w:val="none" w:sz="0" w:space="0" w:color="auto"/>
                              </w:divBdr>
                              <w:divsChild>
                                <w:div w:id="1036392947">
                                  <w:marLeft w:val="0"/>
                                  <w:marRight w:val="0"/>
                                  <w:marTop w:val="0"/>
                                  <w:marBottom w:val="0"/>
                                  <w:divBdr>
                                    <w:top w:val="none" w:sz="0" w:space="0" w:color="auto"/>
                                    <w:left w:val="none" w:sz="0" w:space="0" w:color="auto"/>
                                    <w:bottom w:val="none" w:sz="0" w:space="0" w:color="auto"/>
                                    <w:right w:val="none" w:sz="0" w:space="0" w:color="auto"/>
                                  </w:divBdr>
                                  <w:divsChild>
                                    <w:div w:id="129632398">
                                      <w:marLeft w:val="0"/>
                                      <w:marRight w:val="0"/>
                                      <w:marTop w:val="0"/>
                                      <w:marBottom w:val="0"/>
                                      <w:divBdr>
                                        <w:top w:val="none" w:sz="0" w:space="0" w:color="auto"/>
                                        <w:left w:val="none" w:sz="0" w:space="0" w:color="auto"/>
                                        <w:bottom w:val="none" w:sz="0" w:space="0" w:color="auto"/>
                                        <w:right w:val="none" w:sz="0" w:space="0" w:color="auto"/>
                                      </w:divBdr>
                                      <w:divsChild>
                                        <w:div w:id="288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5642247">
      <w:bodyDiv w:val="1"/>
      <w:marLeft w:val="0"/>
      <w:marRight w:val="0"/>
      <w:marTop w:val="0"/>
      <w:marBottom w:val="0"/>
      <w:divBdr>
        <w:top w:val="none" w:sz="0" w:space="0" w:color="auto"/>
        <w:left w:val="none" w:sz="0" w:space="0" w:color="auto"/>
        <w:bottom w:val="none" w:sz="0" w:space="0" w:color="auto"/>
        <w:right w:val="none" w:sz="0" w:space="0" w:color="auto"/>
      </w:divBdr>
      <w:divsChild>
        <w:div w:id="1438451291">
          <w:marLeft w:val="0"/>
          <w:marRight w:val="0"/>
          <w:marTop w:val="0"/>
          <w:marBottom w:val="0"/>
          <w:divBdr>
            <w:top w:val="none" w:sz="0" w:space="0" w:color="auto"/>
            <w:left w:val="none" w:sz="0" w:space="0" w:color="auto"/>
            <w:bottom w:val="none" w:sz="0" w:space="0" w:color="auto"/>
            <w:right w:val="none" w:sz="0" w:space="0" w:color="auto"/>
          </w:divBdr>
          <w:divsChild>
            <w:div w:id="1878740452">
              <w:marLeft w:val="0"/>
              <w:marRight w:val="0"/>
              <w:marTop w:val="0"/>
              <w:marBottom w:val="0"/>
              <w:divBdr>
                <w:top w:val="none" w:sz="0" w:space="0" w:color="auto"/>
                <w:left w:val="none" w:sz="0" w:space="0" w:color="auto"/>
                <w:bottom w:val="none" w:sz="0" w:space="0" w:color="auto"/>
                <w:right w:val="none" w:sz="0" w:space="0" w:color="auto"/>
              </w:divBdr>
              <w:divsChild>
                <w:div w:id="81882036">
                  <w:marLeft w:val="0"/>
                  <w:marRight w:val="0"/>
                  <w:marTop w:val="0"/>
                  <w:marBottom w:val="0"/>
                  <w:divBdr>
                    <w:top w:val="none" w:sz="0" w:space="0" w:color="auto"/>
                    <w:left w:val="none" w:sz="0" w:space="0" w:color="auto"/>
                    <w:bottom w:val="none" w:sz="0" w:space="0" w:color="auto"/>
                    <w:right w:val="none" w:sz="0" w:space="0" w:color="auto"/>
                  </w:divBdr>
                  <w:divsChild>
                    <w:div w:id="313069422">
                      <w:marLeft w:val="0"/>
                      <w:marRight w:val="0"/>
                      <w:marTop w:val="0"/>
                      <w:marBottom w:val="0"/>
                      <w:divBdr>
                        <w:top w:val="none" w:sz="0" w:space="0" w:color="auto"/>
                        <w:left w:val="none" w:sz="0" w:space="0" w:color="auto"/>
                        <w:bottom w:val="none" w:sz="0" w:space="0" w:color="auto"/>
                        <w:right w:val="none" w:sz="0" w:space="0" w:color="auto"/>
                      </w:divBdr>
                      <w:divsChild>
                        <w:div w:id="135996162">
                          <w:marLeft w:val="0"/>
                          <w:marRight w:val="0"/>
                          <w:marTop w:val="0"/>
                          <w:marBottom w:val="0"/>
                          <w:divBdr>
                            <w:top w:val="none" w:sz="0" w:space="0" w:color="auto"/>
                            <w:left w:val="none" w:sz="0" w:space="0" w:color="auto"/>
                            <w:bottom w:val="none" w:sz="0" w:space="0" w:color="auto"/>
                            <w:right w:val="none" w:sz="0" w:space="0" w:color="auto"/>
                          </w:divBdr>
                          <w:divsChild>
                            <w:div w:id="296373323">
                              <w:marLeft w:val="0"/>
                              <w:marRight w:val="0"/>
                              <w:marTop w:val="0"/>
                              <w:marBottom w:val="330"/>
                              <w:divBdr>
                                <w:top w:val="none" w:sz="0" w:space="0" w:color="auto"/>
                                <w:left w:val="none" w:sz="0" w:space="0" w:color="auto"/>
                                <w:bottom w:val="none" w:sz="0" w:space="0" w:color="auto"/>
                                <w:right w:val="none" w:sz="0" w:space="0" w:color="auto"/>
                              </w:divBdr>
                              <w:divsChild>
                                <w:div w:id="1435245096">
                                  <w:marLeft w:val="0"/>
                                  <w:marRight w:val="0"/>
                                  <w:marTop w:val="0"/>
                                  <w:marBottom w:val="0"/>
                                  <w:divBdr>
                                    <w:top w:val="none" w:sz="0" w:space="0" w:color="auto"/>
                                    <w:left w:val="none" w:sz="0" w:space="0" w:color="auto"/>
                                    <w:bottom w:val="none" w:sz="0" w:space="0" w:color="auto"/>
                                    <w:right w:val="none" w:sz="0" w:space="0" w:color="auto"/>
                                  </w:divBdr>
                                  <w:divsChild>
                                    <w:div w:id="1497039554">
                                      <w:marLeft w:val="0"/>
                                      <w:marRight w:val="0"/>
                                      <w:marTop w:val="0"/>
                                      <w:marBottom w:val="0"/>
                                      <w:divBdr>
                                        <w:top w:val="none" w:sz="0" w:space="0" w:color="auto"/>
                                        <w:left w:val="none" w:sz="0" w:space="0" w:color="auto"/>
                                        <w:bottom w:val="none" w:sz="0" w:space="0" w:color="auto"/>
                                        <w:right w:val="none" w:sz="0" w:space="0" w:color="auto"/>
                                      </w:divBdr>
                                      <w:divsChild>
                                        <w:div w:id="160557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532280">
      <w:bodyDiv w:val="1"/>
      <w:marLeft w:val="0"/>
      <w:marRight w:val="0"/>
      <w:marTop w:val="0"/>
      <w:marBottom w:val="0"/>
      <w:divBdr>
        <w:top w:val="none" w:sz="0" w:space="0" w:color="auto"/>
        <w:left w:val="none" w:sz="0" w:space="0" w:color="auto"/>
        <w:bottom w:val="none" w:sz="0" w:space="0" w:color="auto"/>
        <w:right w:val="none" w:sz="0" w:space="0" w:color="auto"/>
      </w:divBdr>
      <w:divsChild>
        <w:div w:id="839858112">
          <w:marLeft w:val="0"/>
          <w:marRight w:val="0"/>
          <w:marTop w:val="0"/>
          <w:marBottom w:val="0"/>
          <w:divBdr>
            <w:top w:val="none" w:sz="0" w:space="0" w:color="auto"/>
            <w:left w:val="none" w:sz="0" w:space="0" w:color="auto"/>
            <w:bottom w:val="none" w:sz="0" w:space="0" w:color="auto"/>
            <w:right w:val="none" w:sz="0" w:space="0" w:color="auto"/>
          </w:divBdr>
          <w:divsChild>
            <w:div w:id="571938675">
              <w:marLeft w:val="0"/>
              <w:marRight w:val="0"/>
              <w:marTop w:val="0"/>
              <w:marBottom w:val="0"/>
              <w:divBdr>
                <w:top w:val="none" w:sz="0" w:space="0" w:color="auto"/>
                <w:left w:val="none" w:sz="0" w:space="0" w:color="auto"/>
                <w:bottom w:val="none" w:sz="0" w:space="0" w:color="auto"/>
                <w:right w:val="none" w:sz="0" w:space="0" w:color="auto"/>
              </w:divBdr>
              <w:divsChild>
                <w:div w:id="398093067">
                  <w:marLeft w:val="0"/>
                  <w:marRight w:val="0"/>
                  <w:marTop w:val="0"/>
                  <w:marBottom w:val="0"/>
                  <w:divBdr>
                    <w:top w:val="none" w:sz="0" w:space="0" w:color="auto"/>
                    <w:left w:val="none" w:sz="0" w:space="0" w:color="auto"/>
                    <w:bottom w:val="none" w:sz="0" w:space="0" w:color="auto"/>
                    <w:right w:val="none" w:sz="0" w:space="0" w:color="auto"/>
                  </w:divBdr>
                  <w:divsChild>
                    <w:div w:id="1326711495">
                      <w:marLeft w:val="0"/>
                      <w:marRight w:val="0"/>
                      <w:marTop w:val="0"/>
                      <w:marBottom w:val="0"/>
                      <w:divBdr>
                        <w:top w:val="none" w:sz="0" w:space="0" w:color="auto"/>
                        <w:left w:val="none" w:sz="0" w:space="0" w:color="auto"/>
                        <w:bottom w:val="none" w:sz="0" w:space="0" w:color="auto"/>
                        <w:right w:val="none" w:sz="0" w:space="0" w:color="auto"/>
                      </w:divBdr>
                      <w:divsChild>
                        <w:div w:id="860750603">
                          <w:marLeft w:val="0"/>
                          <w:marRight w:val="0"/>
                          <w:marTop w:val="0"/>
                          <w:marBottom w:val="0"/>
                          <w:divBdr>
                            <w:top w:val="none" w:sz="0" w:space="0" w:color="auto"/>
                            <w:left w:val="none" w:sz="0" w:space="0" w:color="auto"/>
                            <w:bottom w:val="none" w:sz="0" w:space="0" w:color="auto"/>
                            <w:right w:val="none" w:sz="0" w:space="0" w:color="auto"/>
                          </w:divBdr>
                          <w:divsChild>
                            <w:div w:id="268897909">
                              <w:marLeft w:val="0"/>
                              <w:marRight w:val="0"/>
                              <w:marTop w:val="0"/>
                              <w:marBottom w:val="330"/>
                              <w:divBdr>
                                <w:top w:val="none" w:sz="0" w:space="0" w:color="auto"/>
                                <w:left w:val="none" w:sz="0" w:space="0" w:color="auto"/>
                                <w:bottom w:val="none" w:sz="0" w:space="0" w:color="auto"/>
                                <w:right w:val="none" w:sz="0" w:space="0" w:color="auto"/>
                              </w:divBdr>
                              <w:divsChild>
                                <w:div w:id="1944998251">
                                  <w:marLeft w:val="0"/>
                                  <w:marRight w:val="0"/>
                                  <w:marTop w:val="0"/>
                                  <w:marBottom w:val="330"/>
                                  <w:divBdr>
                                    <w:top w:val="none" w:sz="0" w:space="0" w:color="auto"/>
                                    <w:left w:val="none" w:sz="0" w:space="0" w:color="auto"/>
                                    <w:bottom w:val="none" w:sz="0" w:space="0" w:color="auto"/>
                                    <w:right w:val="none" w:sz="0" w:space="0" w:color="auto"/>
                                  </w:divBdr>
                                  <w:divsChild>
                                    <w:div w:id="389377732">
                                      <w:marLeft w:val="0"/>
                                      <w:marRight w:val="0"/>
                                      <w:marTop w:val="0"/>
                                      <w:marBottom w:val="0"/>
                                      <w:divBdr>
                                        <w:top w:val="none" w:sz="0" w:space="0" w:color="auto"/>
                                        <w:left w:val="none" w:sz="0" w:space="0" w:color="auto"/>
                                        <w:bottom w:val="none" w:sz="0" w:space="0" w:color="auto"/>
                                        <w:right w:val="none" w:sz="0" w:space="0" w:color="auto"/>
                                      </w:divBdr>
                                      <w:divsChild>
                                        <w:div w:id="1324746229">
                                          <w:marLeft w:val="0"/>
                                          <w:marRight w:val="0"/>
                                          <w:marTop w:val="0"/>
                                          <w:marBottom w:val="0"/>
                                          <w:divBdr>
                                            <w:top w:val="none" w:sz="0" w:space="0" w:color="auto"/>
                                            <w:left w:val="none" w:sz="0" w:space="0" w:color="auto"/>
                                            <w:bottom w:val="none" w:sz="0" w:space="0" w:color="auto"/>
                                            <w:right w:val="none" w:sz="0" w:space="0" w:color="auto"/>
                                          </w:divBdr>
                                          <w:divsChild>
                                            <w:div w:id="165776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054682">
      <w:bodyDiv w:val="1"/>
      <w:marLeft w:val="0"/>
      <w:marRight w:val="0"/>
      <w:marTop w:val="0"/>
      <w:marBottom w:val="0"/>
      <w:divBdr>
        <w:top w:val="none" w:sz="0" w:space="0" w:color="auto"/>
        <w:left w:val="none" w:sz="0" w:space="0" w:color="auto"/>
        <w:bottom w:val="none" w:sz="0" w:space="0" w:color="auto"/>
        <w:right w:val="none" w:sz="0" w:space="0" w:color="auto"/>
      </w:divBdr>
      <w:divsChild>
        <w:div w:id="1951013352">
          <w:marLeft w:val="0"/>
          <w:marRight w:val="0"/>
          <w:marTop w:val="0"/>
          <w:marBottom w:val="0"/>
          <w:divBdr>
            <w:top w:val="none" w:sz="0" w:space="0" w:color="auto"/>
            <w:left w:val="none" w:sz="0" w:space="0" w:color="auto"/>
            <w:bottom w:val="none" w:sz="0" w:space="0" w:color="auto"/>
            <w:right w:val="none" w:sz="0" w:space="0" w:color="auto"/>
          </w:divBdr>
          <w:divsChild>
            <w:div w:id="795375707">
              <w:marLeft w:val="0"/>
              <w:marRight w:val="0"/>
              <w:marTop w:val="0"/>
              <w:marBottom w:val="0"/>
              <w:divBdr>
                <w:top w:val="none" w:sz="0" w:space="0" w:color="auto"/>
                <w:left w:val="none" w:sz="0" w:space="0" w:color="auto"/>
                <w:bottom w:val="none" w:sz="0" w:space="0" w:color="auto"/>
                <w:right w:val="none" w:sz="0" w:space="0" w:color="auto"/>
              </w:divBdr>
              <w:divsChild>
                <w:div w:id="739642520">
                  <w:marLeft w:val="0"/>
                  <w:marRight w:val="0"/>
                  <w:marTop w:val="0"/>
                  <w:marBottom w:val="0"/>
                  <w:divBdr>
                    <w:top w:val="none" w:sz="0" w:space="0" w:color="auto"/>
                    <w:left w:val="none" w:sz="0" w:space="0" w:color="auto"/>
                    <w:bottom w:val="none" w:sz="0" w:space="0" w:color="auto"/>
                    <w:right w:val="none" w:sz="0" w:space="0" w:color="auto"/>
                  </w:divBdr>
                  <w:divsChild>
                    <w:div w:id="412974160">
                      <w:marLeft w:val="0"/>
                      <w:marRight w:val="0"/>
                      <w:marTop w:val="0"/>
                      <w:marBottom w:val="0"/>
                      <w:divBdr>
                        <w:top w:val="none" w:sz="0" w:space="0" w:color="auto"/>
                        <w:left w:val="none" w:sz="0" w:space="0" w:color="auto"/>
                        <w:bottom w:val="none" w:sz="0" w:space="0" w:color="auto"/>
                        <w:right w:val="none" w:sz="0" w:space="0" w:color="auto"/>
                      </w:divBdr>
                      <w:divsChild>
                        <w:div w:id="1128744902">
                          <w:marLeft w:val="0"/>
                          <w:marRight w:val="0"/>
                          <w:marTop w:val="0"/>
                          <w:marBottom w:val="0"/>
                          <w:divBdr>
                            <w:top w:val="none" w:sz="0" w:space="0" w:color="auto"/>
                            <w:left w:val="none" w:sz="0" w:space="0" w:color="auto"/>
                            <w:bottom w:val="none" w:sz="0" w:space="0" w:color="auto"/>
                            <w:right w:val="none" w:sz="0" w:space="0" w:color="auto"/>
                          </w:divBdr>
                          <w:divsChild>
                            <w:div w:id="1292788234">
                              <w:marLeft w:val="0"/>
                              <w:marRight w:val="0"/>
                              <w:marTop w:val="0"/>
                              <w:marBottom w:val="330"/>
                              <w:divBdr>
                                <w:top w:val="none" w:sz="0" w:space="0" w:color="auto"/>
                                <w:left w:val="none" w:sz="0" w:space="0" w:color="auto"/>
                                <w:bottom w:val="none" w:sz="0" w:space="0" w:color="auto"/>
                                <w:right w:val="none" w:sz="0" w:space="0" w:color="auto"/>
                              </w:divBdr>
                              <w:divsChild>
                                <w:div w:id="429662419">
                                  <w:marLeft w:val="0"/>
                                  <w:marRight w:val="0"/>
                                  <w:marTop w:val="0"/>
                                  <w:marBottom w:val="0"/>
                                  <w:divBdr>
                                    <w:top w:val="none" w:sz="0" w:space="0" w:color="auto"/>
                                    <w:left w:val="none" w:sz="0" w:space="0" w:color="auto"/>
                                    <w:bottom w:val="none" w:sz="0" w:space="0" w:color="auto"/>
                                    <w:right w:val="none" w:sz="0" w:space="0" w:color="auto"/>
                                  </w:divBdr>
                                  <w:divsChild>
                                    <w:div w:id="605506943">
                                      <w:marLeft w:val="0"/>
                                      <w:marRight w:val="0"/>
                                      <w:marTop w:val="0"/>
                                      <w:marBottom w:val="0"/>
                                      <w:divBdr>
                                        <w:top w:val="none" w:sz="0" w:space="0" w:color="auto"/>
                                        <w:left w:val="none" w:sz="0" w:space="0" w:color="auto"/>
                                        <w:bottom w:val="none" w:sz="0" w:space="0" w:color="auto"/>
                                        <w:right w:val="none" w:sz="0" w:space="0" w:color="auto"/>
                                      </w:divBdr>
                                      <w:divsChild>
                                        <w:div w:id="49823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556089">
      <w:bodyDiv w:val="1"/>
      <w:marLeft w:val="0"/>
      <w:marRight w:val="0"/>
      <w:marTop w:val="0"/>
      <w:marBottom w:val="0"/>
      <w:divBdr>
        <w:top w:val="none" w:sz="0" w:space="0" w:color="auto"/>
        <w:left w:val="none" w:sz="0" w:space="0" w:color="auto"/>
        <w:bottom w:val="none" w:sz="0" w:space="0" w:color="auto"/>
        <w:right w:val="none" w:sz="0" w:space="0" w:color="auto"/>
      </w:divBdr>
      <w:divsChild>
        <w:div w:id="824663976">
          <w:marLeft w:val="0"/>
          <w:marRight w:val="0"/>
          <w:marTop w:val="0"/>
          <w:marBottom w:val="0"/>
          <w:divBdr>
            <w:top w:val="none" w:sz="0" w:space="0" w:color="auto"/>
            <w:left w:val="none" w:sz="0" w:space="0" w:color="auto"/>
            <w:bottom w:val="none" w:sz="0" w:space="0" w:color="auto"/>
            <w:right w:val="none" w:sz="0" w:space="0" w:color="auto"/>
          </w:divBdr>
          <w:divsChild>
            <w:div w:id="745956043">
              <w:marLeft w:val="0"/>
              <w:marRight w:val="0"/>
              <w:marTop w:val="0"/>
              <w:marBottom w:val="0"/>
              <w:divBdr>
                <w:top w:val="none" w:sz="0" w:space="0" w:color="auto"/>
                <w:left w:val="none" w:sz="0" w:space="0" w:color="auto"/>
                <w:bottom w:val="none" w:sz="0" w:space="0" w:color="auto"/>
                <w:right w:val="none" w:sz="0" w:space="0" w:color="auto"/>
              </w:divBdr>
              <w:divsChild>
                <w:div w:id="1756583813">
                  <w:marLeft w:val="0"/>
                  <w:marRight w:val="0"/>
                  <w:marTop w:val="0"/>
                  <w:marBottom w:val="0"/>
                  <w:divBdr>
                    <w:top w:val="none" w:sz="0" w:space="0" w:color="auto"/>
                    <w:left w:val="none" w:sz="0" w:space="0" w:color="auto"/>
                    <w:bottom w:val="none" w:sz="0" w:space="0" w:color="auto"/>
                    <w:right w:val="none" w:sz="0" w:space="0" w:color="auto"/>
                  </w:divBdr>
                  <w:divsChild>
                    <w:div w:id="1845197198">
                      <w:marLeft w:val="0"/>
                      <w:marRight w:val="0"/>
                      <w:marTop w:val="0"/>
                      <w:marBottom w:val="0"/>
                      <w:divBdr>
                        <w:top w:val="none" w:sz="0" w:space="0" w:color="auto"/>
                        <w:left w:val="none" w:sz="0" w:space="0" w:color="auto"/>
                        <w:bottom w:val="none" w:sz="0" w:space="0" w:color="auto"/>
                        <w:right w:val="none" w:sz="0" w:space="0" w:color="auto"/>
                      </w:divBdr>
                      <w:divsChild>
                        <w:div w:id="322049582">
                          <w:marLeft w:val="0"/>
                          <w:marRight w:val="0"/>
                          <w:marTop w:val="0"/>
                          <w:marBottom w:val="0"/>
                          <w:divBdr>
                            <w:top w:val="none" w:sz="0" w:space="0" w:color="auto"/>
                            <w:left w:val="none" w:sz="0" w:space="0" w:color="auto"/>
                            <w:bottom w:val="none" w:sz="0" w:space="0" w:color="auto"/>
                            <w:right w:val="none" w:sz="0" w:space="0" w:color="auto"/>
                          </w:divBdr>
                          <w:divsChild>
                            <w:div w:id="897476062">
                              <w:marLeft w:val="0"/>
                              <w:marRight w:val="0"/>
                              <w:marTop w:val="0"/>
                              <w:marBottom w:val="330"/>
                              <w:divBdr>
                                <w:top w:val="none" w:sz="0" w:space="0" w:color="auto"/>
                                <w:left w:val="none" w:sz="0" w:space="0" w:color="auto"/>
                                <w:bottom w:val="none" w:sz="0" w:space="0" w:color="auto"/>
                                <w:right w:val="none" w:sz="0" w:space="0" w:color="auto"/>
                              </w:divBdr>
                              <w:divsChild>
                                <w:div w:id="1313218230">
                                  <w:marLeft w:val="0"/>
                                  <w:marRight w:val="0"/>
                                  <w:marTop w:val="0"/>
                                  <w:marBottom w:val="0"/>
                                  <w:divBdr>
                                    <w:top w:val="none" w:sz="0" w:space="0" w:color="auto"/>
                                    <w:left w:val="none" w:sz="0" w:space="0" w:color="auto"/>
                                    <w:bottom w:val="none" w:sz="0" w:space="0" w:color="auto"/>
                                    <w:right w:val="none" w:sz="0" w:space="0" w:color="auto"/>
                                  </w:divBdr>
                                  <w:divsChild>
                                    <w:div w:id="1129085082">
                                      <w:marLeft w:val="0"/>
                                      <w:marRight w:val="0"/>
                                      <w:marTop w:val="0"/>
                                      <w:marBottom w:val="0"/>
                                      <w:divBdr>
                                        <w:top w:val="none" w:sz="0" w:space="0" w:color="auto"/>
                                        <w:left w:val="none" w:sz="0" w:space="0" w:color="auto"/>
                                        <w:bottom w:val="none" w:sz="0" w:space="0" w:color="auto"/>
                                        <w:right w:val="none" w:sz="0" w:space="0" w:color="auto"/>
                                      </w:divBdr>
                                      <w:divsChild>
                                        <w:div w:id="8177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389352">
      <w:bodyDiv w:val="1"/>
      <w:marLeft w:val="0"/>
      <w:marRight w:val="0"/>
      <w:marTop w:val="0"/>
      <w:marBottom w:val="0"/>
      <w:divBdr>
        <w:top w:val="none" w:sz="0" w:space="0" w:color="auto"/>
        <w:left w:val="none" w:sz="0" w:space="0" w:color="auto"/>
        <w:bottom w:val="none" w:sz="0" w:space="0" w:color="auto"/>
        <w:right w:val="none" w:sz="0" w:space="0" w:color="auto"/>
      </w:divBdr>
    </w:div>
    <w:div w:id="1824589881">
      <w:bodyDiv w:val="1"/>
      <w:marLeft w:val="0"/>
      <w:marRight w:val="0"/>
      <w:marTop w:val="0"/>
      <w:marBottom w:val="0"/>
      <w:divBdr>
        <w:top w:val="none" w:sz="0" w:space="0" w:color="auto"/>
        <w:left w:val="none" w:sz="0" w:space="0" w:color="auto"/>
        <w:bottom w:val="none" w:sz="0" w:space="0" w:color="auto"/>
        <w:right w:val="none" w:sz="0" w:space="0" w:color="auto"/>
      </w:divBdr>
      <w:divsChild>
        <w:div w:id="2078629741">
          <w:marLeft w:val="0"/>
          <w:marRight w:val="0"/>
          <w:marTop w:val="0"/>
          <w:marBottom w:val="0"/>
          <w:divBdr>
            <w:top w:val="none" w:sz="0" w:space="0" w:color="auto"/>
            <w:left w:val="none" w:sz="0" w:space="0" w:color="auto"/>
            <w:bottom w:val="none" w:sz="0" w:space="0" w:color="auto"/>
            <w:right w:val="none" w:sz="0" w:space="0" w:color="auto"/>
          </w:divBdr>
          <w:divsChild>
            <w:div w:id="1859731240">
              <w:marLeft w:val="0"/>
              <w:marRight w:val="0"/>
              <w:marTop w:val="0"/>
              <w:marBottom w:val="0"/>
              <w:divBdr>
                <w:top w:val="none" w:sz="0" w:space="0" w:color="auto"/>
                <w:left w:val="none" w:sz="0" w:space="0" w:color="auto"/>
                <w:bottom w:val="none" w:sz="0" w:space="0" w:color="auto"/>
                <w:right w:val="none" w:sz="0" w:space="0" w:color="auto"/>
              </w:divBdr>
              <w:divsChild>
                <w:div w:id="692003542">
                  <w:marLeft w:val="0"/>
                  <w:marRight w:val="0"/>
                  <w:marTop w:val="0"/>
                  <w:marBottom w:val="0"/>
                  <w:divBdr>
                    <w:top w:val="none" w:sz="0" w:space="0" w:color="auto"/>
                    <w:left w:val="none" w:sz="0" w:space="0" w:color="auto"/>
                    <w:bottom w:val="none" w:sz="0" w:space="0" w:color="auto"/>
                    <w:right w:val="none" w:sz="0" w:space="0" w:color="auto"/>
                  </w:divBdr>
                  <w:divsChild>
                    <w:div w:id="2074114321">
                      <w:marLeft w:val="0"/>
                      <w:marRight w:val="0"/>
                      <w:marTop w:val="0"/>
                      <w:marBottom w:val="0"/>
                      <w:divBdr>
                        <w:top w:val="none" w:sz="0" w:space="0" w:color="auto"/>
                        <w:left w:val="none" w:sz="0" w:space="0" w:color="auto"/>
                        <w:bottom w:val="none" w:sz="0" w:space="0" w:color="auto"/>
                        <w:right w:val="none" w:sz="0" w:space="0" w:color="auto"/>
                      </w:divBdr>
                      <w:divsChild>
                        <w:div w:id="1137340714">
                          <w:marLeft w:val="0"/>
                          <w:marRight w:val="0"/>
                          <w:marTop w:val="0"/>
                          <w:marBottom w:val="0"/>
                          <w:divBdr>
                            <w:top w:val="none" w:sz="0" w:space="0" w:color="auto"/>
                            <w:left w:val="none" w:sz="0" w:space="0" w:color="auto"/>
                            <w:bottom w:val="none" w:sz="0" w:space="0" w:color="auto"/>
                            <w:right w:val="none" w:sz="0" w:space="0" w:color="auto"/>
                          </w:divBdr>
                          <w:divsChild>
                            <w:div w:id="737829840">
                              <w:marLeft w:val="0"/>
                              <w:marRight w:val="0"/>
                              <w:marTop w:val="0"/>
                              <w:marBottom w:val="330"/>
                              <w:divBdr>
                                <w:top w:val="none" w:sz="0" w:space="0" w:color="auto"/>
                                <w:left w:val="none" w:sz="0" w:space="0" w:color="auto"/>
                                <w:bottom w:val="none" w:sz="0" w:space="0" w:color="auto"/>
                                <w:right w:val="none" w:sz="0" w:space="0" w:color="auto"/>
                              </w:divBdr>
                              <w:divsChild>
                                <w:div w:id="1341011482">
                                  <w:marLeft w:val="0"/>
                                  <w:marRight w:val="0"/>
                                  <w:marTop w:val="0"/>
                                  <w:marBottom w:val="330"/>
                                  <w:divBdr>
                                    <w:top w:val="none" w:sz="0" w:space="0" w:color="auto"/>
                                    <w:left w:val="none" w:sz="0" w:space="0" w:color="auto"/>
                                    <w:bottom w:val="none" w:sz="0" w:space="0" w:color="auto"/>
                                    <w:right w:val="none" w:sz="0" w:space="0" w:color="auto"/>
                                  </w:divBdr>
                                  <w:divsChild>
                                    <w:div w:id="980353570">
                                      <w:marLeft w:val="0"/>
                                      <w:marRight w:val="0"/>
                                      <w:marTop w:val="0"/>
                                      <w:marBottom w:val="0"/>
                                      <w:divBdr>
                                        <w:top w:val="none" w:sz="0" w:space="0" w:color="auto"/>
                                        <w:left w:val="none" w:sz="0" w:space="0" w:color="auto"/>
                                        <w:bottom w:val="none" w:sz="0" w:space="0" w:color="auto"/>
                                        <w:right w:val="none" w:sz="0" w:space="0" w:color="auto"/>
                                      </w:divBdr>
                                      <w:divsChild>
                                        <w:div w:id="1676566443">
                                          <w:marLeft w:val="0"/>
                                          <w:marRight w:val="0"/>
                                          <w:marTop w:val="0"/>
                                          <w:marBottom w:val="0"/>
                                          <w:divBdr>
                                            <w:top w:val="none" w:sz="0" w:space="0" w:color="auto"/>
                                            <w:left w:val="none" w:sz="0" w:space="0" w:color="auto"/>
                                            <w:bottom w:val="none" w:sz="0" w:space="0" w:color="auto"/>
                                            <w:right w:val="none" w:sz="0" w:space="0" w:color="auto"/>
                                          </w:divBdr>
                                          <w:divsChild>
                                            <w:div w:id="12569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135779">
      <w:bodyDiv w:val="1"/>
      <w:marLeft w:val="0"/>
      <w:marRight w:val="0"/>
      <w:marTop w:val="0"/>
      <w:marBottom w:val="0"/>
      <w:divBdr>
        <w:top w:val="none" w:sz="0" w:space="0" w:color="auto"/>
        <w:left w:val="none" w:sz="0" w:space="0" w:color="auto"/>
        <w:bottom w:val="none" w:sz="0" w:space="0" w:color="auto"/>
        <w:right w:val="none" w:sz="0" w:space="0" w:color="auto"/>
      </w:divBdr>
      <w:divsChild>
        <w:div w:id="1006051493">
          <w:marLeft w:val="0"/>
          <w:marRight w:val="0"/>
          <w:marTop w:val="0"/>
          <w:marBottom w:val="0"/>
          <w:divBdr>
            <w:top w:val="none" w:sz="0" w:space="0" w:color="auto"/>
            <w:left w:val="none" w:sz="0" w:space="0" w:color="auto"/>
            <w:bottom w:val="none" w:sz="0" w:space="0" w:color="auto"/>
            <w:right w:val="none" w:sz="0" w:space="0" w:color="auto"/>
          </w:divBdr>
          <w:divsChild>
            <w:div w:id="283587469">
              <w:marLeft w:val="0"/>
              <w:marRight w:val="0"/>
              <w:marTop w:val="0"/>
              <w:marBottom w:val="0"/>
              <w:divBdr>
                <w:top w:val="none" w:sz="0" w:space="0" w:color="auto"/>
                <w:left w:val="none" w:sz="0" w:space="0" w:color="auto"/>
                <w:bottom w:val="none" w:sz="0" w:space="0" w:color="auto"/>
                <w:right w:val="none" w:sz="0" w:space="0" w:color="auto"/>
              </w:divBdr>
              <w:divsChild>
                <w:div w:id="842282235">
                  <w:marLeft w:val="0"/>
                  <w:marRight w:val="0"/>
                  <w:marTop w:val="0"/>
                  <w:marBottom w:val="0"/>
                  <w:divBdr>
                    <w:top w:val="none" w:sz="0" w:space="0" w:color="auto"/>
                    <w:left w:val="none" w:sz="0" w:space="0" w:color="auto"/>
                    <w:bottom w:val="none" w:sz="0" w:space="0" w:color="auto"/>
                    <w:right w:val="none" w:sz="0" w:space="0" w:color="auto"/>
                  </w:divBdr>
                  <w:divsChild>
                    <w:div w:id="1937202687">
                      <w:marLeft w:val="0"/>
                      <w:marRight w:val="0"/>
                      <w:marTop w:val="0"/>
                      <w:marBottom w:val="0"/>
                      <w:divBdr>
                        <w:top w:val="none" w:sz="0" w:space="0" w:color="auto"/>
                        <w:left w:val="none" w:sz="0" w:space="0" w:color="auto"/>
                        <w:bottom w:val="none" w:sz="0" w:space="0" w:color="auto"/>
                        <w:right w:val="none" w:sz="0" w:space="0" w:color="auto"/>
                      </w:divBdr>
                      <w:divsChild>
                        <w:div w:id="1140463243">
                          <w:marLeft w:val="0"/>
                          <w:marRight w:val="0"/>
                          <w:marTop w:val="0"/>
                          <w:marBottom w:val="0"/>
                          <w:divBdr>
                            <w:top w:val="none" w:sz="0" w:space="0" w:color="auto"/>
                            <w:left w:val="none" w:sz="0" w:space="0" w:color="auto"/>
                            <w:bottom w:val="none" w:sz="0" w:space="0" w:color="auto"/>
                            <w:right w:val="none" w:sz="0" w:space="0" w:color="auto"/>
                          </w:divBdr>
                          <w:divsChild>
                            <w:div w:id="624197593">
                              <w:marLeft w:val="0"/>
                              <w:marRight w:val="0"/>
                              <w:marTop w:val="0"/>
                              <w:marBottom w:val="330"/>
                              <w:divBdr>
                                <w:top w:val="none" w:sz="0" w:space="0" w:color="auto"/>
                                <w:left w:val="none" w:sz="0" w:space="0" w:color="auto"/>
                                <w:bottom w:val="none" w:sz="0" w:space="0" w:color="auto"/>
                                <w:right w:val="none" w:sz="0" w:space="0" w:color="auto"/>
                              </w:divBdr>
                              <w:divsChild>
                                <w:div w:id="803162708">
                                  <w:marLeft w:val="0"/>
                                  <w:marRight w:val="0"/>
                                  <w:marTop w:val="0"/>
                                  <w:marBottom w:val="330"/>
                                  <w:divBdr>
                                    <w:top w:val="none" w:sz="0" w:space="0" w:color="auto"/>
                                    <w:left w:val="none" w:sz="0" w:space="0" w:color="auto"/>
                                    <w:bottom w:val="none" w:sz="0" w:space="0" w:color="auto"/>
                                    <w:right w:val="none" w:sz="0" w:space="0" w:color="auto"/>
                                  </w:divBdr>
                                  <w:divsChild>
                                    <w:div w:id="1099181180">
                                      <w:marLeft w:val="0"/>
                                      <w:marRight w:val="0"/>
                                      <w:marTop w:val="0"/>
                                      <w:marBottom w:val="0"/>
                                      <w:divBdr>
                                        <w:top w:val="none" w:sz="0" w:space="0" w:color="auto"/>
                                        <w:left w:val="none" w:sz="0" w:space="0" w:color="auto"/>
                                        <w:bottom w:val="none" w:sz="0" w:space="0" w:color="auto"/>
                                        <w:right w:val="none" w:sz="0" w:space="0" w:color="auto"/>
                                      </w:divBdr>
                                      <w:divsChild>
                                        <w:div w:id="646322620">
                                          <w:marLeft w:val="0"/>
                                          <w:marRight w:val="0"/>
                                          <w:marTop w:val="0"/>
                                          <w:marBottom w:val="0"/>
                                          <w:divBdr>
                                            <w:top w:val="none" w:sz="0" w:space="0" w:color="auto"/>
                                            <w:left w:val="none" w:sz="0" w:space="0" w:color="auto"/>
                                            <w:bottom w:val="none" w:sz="0" w:space="0" w:color="auto"/>
                                            <w:right w:val="none" w:sz="0" w:space="0" w:color="auto"/>
                                          </w:divBdr>
                                          <w:divsChild>
                                            <w:div w:id="114519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1225840">
      <w:bodyDiv w:val="1"/>
      <w:marLeft w:val="0"/>
      <w:marRight w:val="0"/>
      <w:marTop w:val="0"/>
      <w:marBottom w:val="0"/>
      <w:divBdr>
        <w:top w:val="none" w:sz="0" w:space="0" w:color="auto"/>
        <w:left w:val="none" w:sz="0" w:space="0" w:color="auto"/>
        <w:bottom w:val="none" w:sz="0" w:space="0" w:color="auto"/>
        <w:right w:val="none" w:sz="0" w:space="0" w:color="auto"/>
      </w:divBdr>
      <w:divsChild>
        <w:div w:id="433289311">
          <w:marLeft w:val="0"/>
          <w:marRight w:val="0"/>
          <w:marTop w:val="0"/>
          <w:marBottom w:val="0"/>
          <w:divBdr>
            <w:top w:val="none" w:sz="0" w:space="0" w:color="auto"/>
            <w:left w:val="none" w:sz="0" w:space="0" w:color="auto"/>
            <w:bottom w:val="none" w:sz="0" w:space="0" w:color="auto"/>
            <w:right w:val="none" w:sz="0" w:space="0" w:color="auto"/>
          </w:divBdr>
          <w:divsChild>
            <w:div w:id="1135483683">
              <w:marLeft w:val="0"/>
              <w:marRight w:val="0"/>
              <w:marTop w:val="0"/>
              <w:marBottom w:val="0"/>
              <w:divBdr>
                <w:top w:val="none" w:sz="0" w:space="0" w:color="auto"/>
                <w:left w:val="none" w:sz="0" w:space="0" w:color="auto"/>
                <w:bottom w:val="none" w:sz="0" w:space="0" w:color="auto"/>
                <w:right w:val="none" w:sz="0" w:space="0" w:color="auto"/>
              </w:divBdr>
              <w:divsChild>
                <w:div w:id="646134153">
                  <w:marLeft w:val="0"/>
                  <w:marRight w:val="0"/>
                  <w:marTop w:val="0"/>
                  <w:marBottom w:val="0"/>
                  <w:divBdr>
                    <w:top w:val="none" w:sz="0" w:space="0" w:color="auto"/>
                    <w:left w:val="none" w:sz="0" w:space="0" w:color="auto"/>
                    <w:bottom w:val="none" w:sz="0" w:space="0" w:color="auto"/>
                    <w:right w:val="none" w:sz="0" w:space="0" w:color="auto"/>
                  </w:divBdr>
                  <w:divsChild>
                    <w:div w:id="1026564259">
                      <w:marLeft w:val="0"/>
                      <w:marRight w:val="0"/>
                      <w:marTop w:val="0"/>
                      <w:marBottom w:val="0"/>
                      <w:divBdr>
                        <w:top w:val="none" w:sz="0" w:space="0" w:color="auto"/>
                        <w:left w:val="none" w:sz="0" w:space="0" w:color="auto"/>
                        <w:bottom w:val="none" w:sz="0" w:space="0" w:color="auto"/>
                        <w:right w:val="none" w:sz="0" w:space="0" w:color="auto"/>
                      </w:divBdr>
                      <w:divsChild>
                        <w:div w:id="163320515">
                          <w:marLeft w:val="0"/>
                          <w:marRight w:val="0"/>
                          <w:marTop w:val="0"/>
                          <w:marBottom w:val="0"/>
                          <w:divBdr>
                            <w:top w:val="none" w:sz="0" w:space="0" w:color="auto"/>
                            <w:left w:val="none" w:sz="0" w:space="0" w:color="auto"/>
                            <w:bottom w:val="none" w:sz="0" w:space="0" w:color="auto"/>
                            <w:right w:val="none" w:sz="0" w:space="0" w:color="auto"/>
                          </w:divBdr>
                          <w:divsChild>
                            <w:div w:id="1868710189">
                              <w:marLeft w:val="0"/>
                              <w:marRight w:val="0"/>
                              <w:marTop w:val="0"/>
                              <w:marBottom w:val="330"/>
                              <w:divBdr>
                                <w:top w:val="none" w:sz="0" w:space="0" w:color="auto"/>
                                <w:left w:val="none" w:sz="0" w:space="0" w:color="auto"/>
                                <w:bottom w:val="none" w:sz="0" w:space="0" w:color="auto"/>
                                <w:right w:val="none" w:sz="0" w:space="0" w:color="auto"/>
                              </w:divBdr>
                              <w:divsChild>
                                <w:div w:id="129591099">
                                  <w:marLeft w:val="0"/>
                                  <w:marRight w:val="0"/>
                                  <w:marTop w:val="0"/>
                                  <w:marBottom w:val="0"/>
                                  <w:divBdr>
                                    <w:top w:val="none" w:sz="0" w:space="0" w:color="auto"/>
                                    <w:left w:val="none" w:sz="0" w:space="0" w:color="auto"/>
                                    <w:bottom w:val="none" w:sz="0" w:space="0" w:color="auto"/>
                                    <w:right w:val="none" w:sz="0" w:space="0" w:color="auto"/>
                                  </w:divBdr>
                                  <w:divsChild>
                                    <w:div w:id="1433166355">
                                      <w:marLeft w:val="0"/>
                                      <w:marRight w:val="0"/>
                                      <w:marTop w:val="0"/>
                                      <w:marBottom w:val="0"/>
                                      <w:divBdr>
                                        <w:top w:val="none" w:sz="0" w:space="0" w:color="auto"/>
                                        <w:left w:val="none" w:sz="0" w:space="0" w:color="auto"/>
                                        <w:bottom w:val="none" w:sz="0" w:space="0" w:color="auto"/>
                                        <w:right w:val="none" w:sz="0" w:space="0" w:color="auto"/>
                                      </w:divBdr>
                                      <w:divsChild>
                                        <w:div w:id="82158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925392">
      <w:bodyDiv w:val="1"/>
      <w:marLeft w:val="0"/>
      <w:marRight w:val="0"/>
      <w:marTop w:val="0"/>
      <w:marBottom w:val="0"/>
      <w:divBdr>
        <w:top w:val="none" w:sz="0" w:space="0" w:color="auto"/>
        <w:left w:val="none" w:sz="0" w:space="0" w:color="auto"/>
        <w:bottom w:val="none" w:sz="0" w:space="0" w:color="auto"/>
        <w:right w:val="none" w:sz="0" w:space="0" w:color="auto"/>
      </w:divBdr>
      <w:divsChild>
        <w:div w:id="2022194540">
          <w:marLeft w:val="0"/>
          <w:marRight w:val="0"/>
          <w:marTop w:val="0"/>
          <w:marBottom w:val="0"/>
          <w:divBdr>
            <w:top w:val="none" w:sz="0" w:space="0" w:color="auto"/>
            <w:left w:val="none" w:sz="0" w:space="0" w:color="auto"/>
            <w:bottom w:val="none" w:sz="0" w:space="0" w:color="auto"/>
            <w:right w:val="none" w:sz="0" w:space="0" w:color="auto"/>
          </w:divBdr>
          <w:divsChild>
            <w:div w:id="1524368714">
              <w:marLeft w:val="0"/>
              <w:marRight w:val="0"/>
              <w:marTop w:val="0"/>
              <w:marBottom w:val="0"/>
              <w:divBdr>
                <w:top w:val="none" w:sz="0" w:space="0" w:color="auto"/>
                <w:left w:val="none" w:sz="0" w:space="0" w:color="auto"/>
                <w:bottom w:val="none" w:sz="0" w:space="0" w:color="auto"/>
                <w:right w:val="none" w:sz="0" w:space="0" w:color="auto"/>
              </w:divBdr>
              <w:divsChild>
                <w:div w:id="256446284">
                  <w:marLeft w:val="0"/>
                  <w:marRight w:val="0"/>
                  <w:marTop w:val="0"/>
                  <w:marBottom w:val="0"/>
                  <w:divBdr>
                    <w:top w:val="none" w:sz="0" w:space="0" w:color="auto"/>
                    <w:left w:val="none" w:sz="0" w:space="0" w:color="auto"/>
                    <w:bottom w:val="none" w:sz="0" w:space="0" w:color="auto"/>
                    <w:right w:val="none" w:sz="0" w:space="0" w:color="auto"/>
                  </w:divBdr>
                  <w:divsChild>
                    <w:div w:id="90902793">
                      <w:marLeft w:val="0"/>
                      <w:marRight w:val="0"/>
                      <w:marTop w:val="0"/>
                      <w:marBottom w:val="0"/>
                      <w:divBdr>
                        <w:top w:val="none" w:sz="0" w:space="0" w:color="auto"/>
                        <w:left w:val="none" w:sz="0" w:space="0" w:color="auto"/>
                        <w:bottom w:val="none" w:sz="0" w:space="0" w:color="auto"/>
                        <w:right w:val="none" w:sz="0" w:space="0" w:color="auto"/>
                      </w:divBdr>
                      <w:divsChild>
                        <w:div w:id="1022249429">
                          <w:marLeft w:val="0"/>
                          <w:marRight w:val="0"/>
                          <w:marTop w:val="0"/>
                          <w:marBottom w:val="0"/>
                          <w:divBdr>
                            <w:top w:val="none" w:sz="0" w:space="0" w:color="auto"/>
                            <w:left w:val="none" w:sz="0" w:space="0" w:color="auto"/>
                            <w:bottom w:val="none" w:sz="0" w:space="0" w:color="auto"/>
                            <w:right w:val="none" w:sz="0" w:space="0" w:color="auto"/>
                          </w:divBdr>
                          <w:divsChild>
                            <w:div w:id="1598249275">
                              <w:marLeft w:val="0"/>
                              <w:marRight w:val="0"/>
                              <w:marTop w:val="0"/>
                              <w:marBottom w:val="330"/>
                              <w:divBdr>
                                <w:top w:val="none" w:sz="0" w:space="0" w:color="auto"/>
                                <w:left w:val="none" w:sz="0" w:space="0" w:color="auto"/>
                                <w:bottom w:val="none" w:sz="0" w:space="0" w:color="auto"/>
                                <w:right w:val="none" w:sz="0" w:space="0" w:color="auto"/>
                              </w:divBdr>
                              <w:divsChild>
                                <w:div w:id="300503825">
                                  <w:marLeft w:val="0"/>
                                  <w:marRight w:val="0"/>
                                  <w:marTop w:val="0"/>
                                  <w:marBottom w:val="0"/>
                                  <w:divBdr>
                                    <w:top w:val="none" w:sz="0" w:space="0" w:color="auto"/>
                                    <w:left w:val="none" w:sz="0" w:space="0" w:color="auto"/>
                                    <w:bottom w:val="none" w:sz="0" w:space="0" w:color="auto"/>
                                    <w:right w:val="none" w:sz="0" w:space="0" w:color="auto"/>
                                  </w:divBdr>
                                  <w:divsChild>
                                    <w:div w:id="1391028799">
                                      <w:marLeft w:val="0"/>
                                      <w:marRight w:val="0"/>
                                      <w:marTop w:val="0"/>
                                      <w:marBottom w:val="0"/>
                                      <w:divBdr>
                                        <w:top w:val="none" w:sz="0" w:space="0" w:color="auto"/>
                                        <w:left w:val="none" w:sz="0" w:space="0" w:color="auto"/>
                                        <w:bottom w:val="none" w:sz="0" w:space="0" w:color="auto"/>
                                        <w:right w:val="none" w:sz="0" w:space="0" w:color="auto"/>
                                      </w:divBdr>
                                      <w:divsChild>
                                        <w:div w:id="10809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6078220">
      <w:bodyDiv w:val="1"/>
      <w:marLeft w:val="0"/>
      <w:marRight w:val="0"/>
      <w:marTop w:val="0"/>
      <w:marBottom w:val="0"/>
      <w:divBdr>
        <w:top w:val="none" w:sz="0" w:space="0" w:color="auto"/>
        <w:left w:val="none" w:sz="0" w:space="0" w:color="auto"/>
        <w:bottom w:val="none" w:sz="0" w:space="0" w:color="auto"/>
        <w:right w:val="none" w:sz="0" w:space="0" w:color="auto"/>
      </w:divBdr>
      <w:divsChild>
        <w:div w:id="1002198482">
          <w:marLeft w:val="0"/>
          <w:marRight w:val="0"/>
          <w:marTop w:val="0"/>
          <w:marBottom w:val="0"/>
          <w:divBdr>
            <w:top w:val="none" w:sz="0" w:space="0" w:color="auto"/>
            <w:left w:val="none" w:sz="0" w:space="0" w:color="auto"/>
            <w:bottom w:val="none" w:sz="0" w:space="0" w:color="auto"/>
            <w:right w:val="none" w:sz="0" w:space="0" w:color="auto"/>
          </w:divBdr>
          <w:divsChild>
            <w:div w:id="993413377">
              <w:marLeft w:val="0"/>
              <w:marRight w:val="0"/>
              <w:marTop w:val="0"/>
              <w:marBottom w:val="0"/>
              <w:divBdr>
                <w:top w:val="none" w:sz="0" w:space="0" w:color="auto"/>
                <w:left w:val="none" w:sz="0" w:space="0" w:color="auto"/>
                <w:bottom w:val="none" w:sz="0" w:space="0" w:color="auto"/>
                <w:right w:val="none" w:sz="0" w:space="0" w:color="auto"/>
              </w:divBdr>
              <w:divsChild>
                <w:div w:id="107970233">
                  <w:marLeft w:val="0"/>
                  <w:marRight w:val="0"/>
                  <w:marTop w:val="0"/>
                  <w:marBottom w:val="0"/>
                  <w:divBdr>
                    <w:top w:val="none" w:sz="0" w:space="0" w:color="auto"/>
                    <w:left w:val="none" w:sz="0" w:space="0" w:color="auto"/>
                    <w:bottom w:val="none" w:sz="0" w:space="0" w:color="auto"/>
                    <w:right w:val="none" w:sz="0" w:space="0" w:color="auto"/>
                  </w:divBdr>
                  <w:divsChild>
                    <w:div w:id="1293711692">
                      <w:marLeft w:val="0"/>
                      <w:marRight w:val="0"/>
                      <w:marTop w:val="0"/>
                      <w:marBottom w:val="0"/>
                      <w:divBdr>
                        <w:top w:val="none" w:sz="0" w:space="0" w:color="auto"/>
                        <w:left w:val="none" w:sz="0" w:space="0" w:color="auto"/>
                        <w:bottom w:val="none" w:sz="0" w:space="0" w:color="auto"/>
                        <w:right w:val="none" w:sz="0" w:space="0" w:color="auto"/>
                      </w:divBdr>
                      <w:divsChild>
                        <w:div w:id="1876231914">
                          <w:marLeft w:val="0"/>
                          <w:marRight w:val="0"/>
                          <w:marTop w:val="0"/>
                          <w:marBottom w:val="0"/>
                          <w:divBdr>
                            <w:top w:val="none" w:sz="0" w:space="0" w:color="auto"/>
                            <w:left w:val="none" w:sz="0" w:space="0" w:color="auto"/>
                            <w:bottom w:val="none" w:sz="0" w:space="0" w:color="auto"/>
                            <w:right w:val="none" w:sz="0" w:space="0" w:color="auto"/>
                          </w:divBdr>
                          <w:divsChild>
                            <w:div w:id="1605458212">
                              <w:marLeft w:val="0"/>
                              <w:marRight w:val="0"/>
                              <w:marTop w:val="0"/>
                              <w:marBottom w:val="330"/>
                              <w:divBdr>
                                <w:top w:val="none" w:sz="0" w:space="0" w:color="auto"/>
                                <w:left w:val="none" w:sz="0" w:space="0" w:color="auto"/>
                                <w:bottom w:val="none" w:sz="0" w:space="0" w:color="auto"/>
                                <w:right w:val="none" w:sz="0" w:space="0" w:color="auto"/>
                              </w:divBdr>
                              <w:divsChild>
                                <w:div w:id="92478652">
                                  <w:marLeft w:val="0"/>
                                  <w:marRight w:val="0"/>
                                  <w:marTop w:val="0"/>
                                  <w:marBottom w:val="0"/>
                                  <w:divBdr>
                                    <w:top w:val="none" w:sz="0" w:space="0" w:color="auto"/>
                                    <w:left w:val="none" w:sz="0" w:space="0" w:color="auto"/>
                                    <w:bottom w:val="none" w:sz="0" w:space="0" w:color="auto"/>
                                    <w:right w:val="none" w:sz="0" w:space="0" w:color="auto"/>
                                  </w:divBdr>
                                  <w:divsChild>
                                    <w:div w:id="417752495">
                                      <w:marLeft w:val="0"/>
                                      <w:marRight w:val="0"/>
                                      <w:marTop w:val="0"/>
                                      <w:marBottom w:val="0"/>
                                      <w:divBdr>
                                        <w:top w:val="none" w:sz="0" w:space="0" w:color="auto"/>
                                        <w:left w:val="none" w:sz="0" w:space="0" w:color="auto"/>
                                        <w:bottom w:val="none" w:sz="0" w:space="0" w:color="auto"/>
                                        <w:right w:val="none" w:sz="0" w:space="0" w:color="auto"/>
                                      </w:divBdr>
                                      <w:divsChild>
                                        <w:div w:id="163763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798116">
      <w:bodyDiv w:val="1"/>
      <w:marLeft w:val="0"/>
      <w:marRight w:val="0"/>
      <w:marTop w:val="0"/>
      <w:marBottom w:val="0"/>
      <w:divBdr>
        <w:top w:val="none" w:sz="0" w:space="0" w:color="auto"/>
        <w:left w:val="none" w:sz="0" w:space="0" w:color="auto"/>
        <w:bottom w:val="none" w:sz="0" w:space="0" w:color="auto"/>
        <w:right w:val="none" w:sz="0" w:space="0" w:color="auto"/>
      </w:divBdr>
      <w:divsChild>
        <w:div w:id="2010063387">
          <w:marLeft w:val="0"/>
          <w:marRight w:val="0"/>
          <w:marTop w:val="0"/>
          <w:marBottom w:val="0"/>
          <w:divBdr>
            <w:top w:val="none" w:sz="0" w:space="0" w:color="auto"/>
            <w:left w:val="none" w:sz="0" w:space="0" w:color="auto"/>
            <w:bottom w:val="none" w:sz="0" w:space="0" w:color="auto"/>
            <w:right w:val="none" w:sz="0" w:space="0" w:color="auto"/>
          </w:divBdr>
          <w:divsChild>
            <w:div w:id="1306736273">
              <w:marLeft w:val="0"/>
              <w:marRight w:val="0"/>
              <w:marTop w:val="0"/>
              <w:marBottom w:val="0"/>
              <w:divBdr>
                <w:top w:val="none" w:sz="0" w:space="0" w:color="auto"/>
                <w:left w:val="none" w:sz="0" w:space="0" w:color="auto"/>
                <w:bottom w:val="none" w:sz="0" w:space="0" w:color="auto"/>
                <w:right w:val="none" w:sz="0" w:space="0" w:color="auto"/>
              </w:divBdr>
              <w:divsChild>
                <w:div w:id="1610970255">
                  <w:marLeft w:val="0"/>
                  <w:marRight w:val="0"/>
                  <w:marTop w:val="0"/>
                  <w:marBottom w:val="0"/>
                  <w:divBdr>
                    <w:top w:val="none" w:sz="0" w:space="0" w:color="auto"/>
                    <w:left w:val="none" w:sz="0" w:space="0" w:color="auto"/>
                    <w:bottom w:val="none" w:sz="0" w:space="0" w:color="auto"/>
                    <w:right w:val="none" w:sz="0" w:space="0" w:color="auto"/>
                  </w:divBdr>
                  <w:divsChild>
                    <w:div w:id="1683513917">
                      <w:marLeft w:val="0"/>
                      <w:marRight w:val="0"/>
                      <w:marTop w:val="0"/>
                      <w:marBottom w:val="0"/>
                      <w:divBdr>
                        <w:top w:val="none" w:sz="0" w:space="0" w:color="auto"/>
                        <w:left w:val="none" w:sz="0" w:space="0" w:color="auto"/>
                        <w:bottom w:val="none" w:sz="0" w:space="0" w:color="auto"/>
                        <w:right w:val="none" w:sz="0" w:space="0" w:color="auto"/>
                      </w:divBdr>
                      <w:divsChild>
                        <w:div w:id="2115439042">
                          <w:marLeft w:val="0"/>
                          <w:marRight w:val="0"/>
                          <w:marTop w:val="0"/>
                          <w:marBottom w:val="0"/>
                          <w:divBdr>
                            <w:top w:val="none" w:sz="0" w:space="0" w:color="auto"/>
                            <w:left w:val="none" w:sz="0" w:space="0" w:color="auto"/>
                            <w:bottom w:val="none" w:sz="0" w:space="0" w:color="auto"/>
                            <w:right w:val="none" w:sz="0" w:space="0" w:color="auto"/>
                          </w:divBdr>
                          <w:divsChild>
                            <w:div w:id="1924099036">
                              <w:marLeft w:val="0"/>
                              <w:marRight w:val="0"/>
                              <w:marTop w:val="0"/>
                              <w:marBottom w:val="330"/>
                              <w:divBdr>
                                <w:top w:val="none" w:sz="0" w:space="0" w:color="auto"/>
                                <w:left w:val="none" w:sz="0" w:space="0" w:color="auto"/>
                                <w:bottom w:val="none" w:sz="0" w:space="0" w:color="auto"/>
                                <w:right w:val="none" w:sz="0" w:space="0" w:color="auto"/>
                              </w:divBdr>
                              <w:divsChild>
                                <w:div w:id="2027633020">
                                  <w:marLeft w:val="0"/>
                                  <w:marRight w:val="0"/>
                                  <w:marTop w:val="0"/>
                                  <w:marBottom w:val="0"/>
                                  <w:divBdr>
                                    <w:top w:val="none" w:sz="0" w:space="0" w:color="auto"/>
                                    <w:left w:val="none" w:sz="0" w:space="0" w:color="auto"/>
                                    <w:bottom w:val="none" w:sz="0" w:space="0" w:color="auto"/>
                                    <w:right w:val="none" w:sz="0" w:space="0" w:color="auto"/>
                                  </w:divBdr>
                                  <w:divsChild>
                                    <w:div w:id="1109202445">
                                      <w:marLeft w:val="0"/>
                                      <w:marRight w:val="0"/>
                                      <w:marTop w:val="0"/>
                                      <w:marBottom w:val="0"/>
                                      <w:divBdr>
                                        <w:top w:val="none" w:sz="0" w:space="0" w:color="auto"/>
                                        <w:left w:val="none" w:sz="0" w:space="0" w:color="auto"/>
                                        <w:bottom w:val="none" w:sz="0" w:space="0" w:color="auto"/>
                                        <w:right w:val="none" w:sz="0" w:space="0" w:color="auto"/>
                                      </w:divBdr>
                                      <w:divsChild>
                                        <w:div w:id="12220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727129">
      <w:bodyDiv w:val="1"/>
      <w:marLeft w:val="0"/>
      <w:marRight w:val="0"/>
      <w:marTop w:val="0"/>
      <w:marBottom w:val="0"/>
      <w:divBdr>
        <w:top w:val="none" w:sz="0" w:space="0" w:color="auto"/>
        <w:left w:val="none" w:sz="0" w:space="0" w:color="auto"/>
        <w:bottom w:val="none" w:sz="0" w:space="0" w:color="auto"/>
        <w:right w:val="none" w:sz="0" w:space="0" w:color="auto"/>
      </w:divBdr>
      <w:divsChild>
        <w:div w:id="47102028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sChild>
                <w:div w:id="1927225727">
                  <w:marLeft w:val="0"/>
                  <w:marRight w:val="0"/>
                  <w:marTop w:val="0"/>
                  <w:marBottom w:val="0"/>
                  <w:divBdr>
                    <w:top w:val="none" w:sz="0" w:space="0" w:color="auto"/>
                    <w:left w:val="none" w:sz="0" w:space="0" w:color="auto"/>
                    <w:bottom w:val="none" w:sz="0" w:space="0" w:color="auto"/>
                    <w:right w:val="none" w:sz="0" w:space="0" w:color="auto"/>
                  </w:divBdr>
                  <w:divsChild>
                    <w:div w:id="1863349619">
                      <w:marLeft w:val="0"/>
                      <w:marRight w:val="0"/>
                      <w:marTop w:val="0"/>
                      <w:marBottom w:val="0"/>
                      <w:divBdr>
                        <w:top w:val="none" w:sz="0" w:space="0" w:color="auto"/>
                        <w:left w:val="none" w:sz="0" w:space="0" w:color="auto"/>
                        <w:bottom w:val="none" w:sz="0" w:space="0" w:color="auto"/>
                        <w:right w:val="none" w:sz="0" w:space="0" w:color="auto"/>
                      </w:divBdr>
                      <w:divsChild>
                        <w:div w:id="259222018">
                          <w:marLeft w:val="0"/>
                          <w:marRight w:val="0"/>
                          <w:marTop w:val="0"/>
                          <w:marBottom w:val="0"/>
                          <w:divBdr>
                            <w:top w:val="none" w:sz="0" w:space="0" w:color="auto"/>
                            <w:left w:val="none" w:sz="0" w:space="0" w:color="auto"/>
                            <w:bottom w:val="none" w:sz="0" w:space="0" w:color="auto"/>
                            <w:right w:val="none" w:sz="0" w:space="0" w:color="auto"/>
                          </w:divBdr>
                          <w:divsChild>
                            <w:div w:id="1524514324">
                              <w:marLeft w:val="0"/>
                              <w:marRight w:val="0"/>
                              <w:marTop w:val="0"/>
                              <w:marBottom w:val="330"/>
                              <w:divBdr>
                                <w:top w:val="none" w:sz="0" w:space="0" w:color="auto"/>
                                <w:left w:val="none" w:sz="0" w:space="0" w:color="auto"/>
                                <w:bottom w:val="none" w:sz="0" w:space="0" w:color="auto"/>
                                <w:right w:val="none" w:sz="0" w:space="0" w:color="auto"/>
                              </w:divBdr>
                              <w:divsChild>
                                <w:div w:id="1573353429">
                                  <w:marLeft w:val="0"/>
                                  <w:marRight w:val="0"/>
                                  <w:marTop w:val="0"/>
                                  <w:marBottom w:val="0"/>
                                  <w:divBdr>
                                    <w:top w:val="none" w:sz="0" w:space="0" w:color="auto"/>
                                    <w:left w:val="none" w:sz="0" w:space="0" w:color="auto"/>
                                    <w:bottom w:val="none" w:sz="0" w:space="0" w:color="auto"/>
                                    <w:right w:val="none" w:sz="0" w:space="0" w:color="auto"/>
                                  </w:divBdr>
                                  <w:divsChild>
                                    <w:div w:id="1957984801">
                                      <w:marLeft w:val="0"/>
                                      <w:marRight w:val="0"/>
                                      <w:marTop w:val="0"/>
                                      <w:marBottom w:val="0"/>
                                      <w:divBdr>
                                        <w:top w:val="none" w:sz="0" w:space="0" w:color="auto"/>
                                        <w:left w:val="none" w:sz="0" w:space="0" w:color="auto"/>
                                        <w:bottom w:val="none" w:sz="0" w:space="0" w:color="auto"/>
                                        <w:right w:val="none" w:sz="0" w:space="0" w:color="auto"/>
                                      </w:divBdr>
                                      <w:divsChild>
                                        <w:div w:id="72255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B1316-E2AC-4E58-9F0D-61FA2ED67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19FC03DD</Template>
  <TotalTime>0</TotalTime>
  <Pages>147</Pages>
  <Words>83560</Words>
  <Characters>476293</Characters>
  <Application>Microsoft Office Word</Application>
  <DocSecurity>0</DocSecurity>
  <Lines>3969</Lines>
  <Paragraphs>1117</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558736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 Amy</dc:creator>
  <cp:keywords/>
  <dc:description/>
  <cp:lastModifiedBy>O'Brien, Fiona</cp:lastModifiedBy>
  <cp:revision>2</cp:revision>
  <dcterms:created xsi:type="dcterms:W3CDTF">2018-01-12T11:39:00Z</dcterms:created>
  <dcterms:modified xsi:type="dcterms:W3CDTF">2018-01-12T11:39:00Z</dcterms:modified>
</cp:coreProperties>
</file>